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2"/>
        </w:rPr>
      </w:pPr>
      <w:bookmarkStart w:id="0" w:name="OLE_LINK2"/>
      <w:bookmarkStart w:id="1" w:name="_Toc329337234"/>
      <w:bookmarkStart w:id="2" w:name="_Toc329350512"/>
      <w:bookmarkStart w:id="3" w:name="_Toc329590442"/>
      <w:bookmarkStart w:id="4" w:name="_Toc331666382"/>
      <w:bookmarkStart w:id="5" w:name="_Toc355596892"/>
      <w:bookmarkStart w:id="6" w:name="_Toc359827173"/>
      <w:bookmarkStart w:id="7" w:name="_Toc357170913"/>
      <w:bookmarkStart w:id="8" w:name="_Toc357171218"/>
      <w:bookmarkStart w:id="9" w:name="_Toc385939705"/>
      <w:bookmarkStart w:id="10" w:name="_Toc388529365"/>
      <w:r>
        <w:rPr>
          <w:rFonts w:ascii="仿宋" w:hAnsi="仿宋" w:eastAsia="仿宋"/>
          <w:b/>
          <w:sz w:val="36"/>
          <w:szCs w:val="32"/>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-104775</wp:posOffset>
            </wp:positionV>
            <wp:extent cx="644525" cy="683895"/>
            <wp:effectExtent l="0" t="0" r="0" b="0"/>
            <wp:wrapNone/>
            <wp:docPr id="194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图片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44400" cy="684000"/>
                    </a:xfrm>
                    <a:prstGeom prst="rect">
                      <a:avLst/>
                    </a:prstGeom>
                    <a:noFill/>
                    <a:ln>
                      <a:noFill/>
                    </a:ln>
                  </pic:spPr>
                </pic:pic>
              </a:graphicData>
            </a:graphic>
          </wp:anchor>
        </w:drawing>
      </w:r>
      <w:r>
        <w:rPr>
          <w:rFonts w:hint="eastAsia" w:ascii="仿宋" w:hAnsi="仿宋" w:eastAsia="仿宋"/>
          <w:b/>
          <w:sz w:val="36"/>
          <w:szCs w:val="32"/>
        </w:rPr>
        <w:t>中交第一公路工程局有限公司招聘公告</w:t>
      </w:r>
    </w:p>
    <w:bookmarkEnd w:id="0"/>
    <w:p>
      <w:pPr>
        <w:jc w:val="center"/>
        <w:rPr>
          <w:rFonts w:ascii="黑体" w:hAnsi="黑体" w:eastAsia="黑体"/>
          <w:b/>
          <w:sz w:val="48"/>
          <w:szCs w:val="44"/>
        </w:rPr>
      </w:pPr>
    </w:p>
    <w:p>
      <w:pPr>
        <w:spacing w:line="360" w:lineRule="auto"/>
        <w:textAlignment w:val="baseline"/>
        <w:rPr>
          <w:rFonts w:ascii="仿宋" w:hAnsi="仿宋" w:eastAsia="仿宋"/>
          <w:b/>
          <w:kern w:val="0"/>
          <w:sz w:val="32"/>
          <w:szCs w:val="32"/>
        </w:rPr>
      </w:pPr>
      <w:r>
        <w:rPr>
          <w:rFonts w:hint="eastAsia" w:ascii="仿宋" w:hAnsi="仿宋" w:eastAsia="仿宋"/>
          <w:b/>
          <w:kern w:val="0"/>
          <w:sz w:val="32"/>
          <w:szCs w:val="32"/>
        </w:rPr>
        <w:t>招聘学校：西南交通大学</w:t>
      </w:r>
    </w:p>
    <w:p>
      <w:pPr>
        <w:spacing w:line="360" w:lineRule="auto"/>
        <w:textAlignment w:val="baseline"/>
        <w:rPr>
          <w:rFonts w:ascii="仿宋" w:hAnsi="仿宋" w:eastAsia="仿宋"/>
          <w:b/>
          <w:kern w:val="0"/>
          <w:sz w:val="32"/>
          <w:szCs w:val="32"/>
        </w:rPr>
      </w:pPr>
      <w:bookmarkStart w:id="11" w:name="OLE_LINK4"/>
      <w:r>
        <w:rPr>
          <w:rFonts w:hint="eastAsia" w:ascii="仿宋" w:hAnsi="仿宋" w:eastAsia="仿宋"/>
          <w:b/>
          <w:kern w:val="0"/>
          <w:sz w:val="32"/>
          <w:szCs w:val="32"/>
        </w:rPr>
        <w:t>需求专业：</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公路与城市道路工程、桥梁工程、隧道工程、渡河工程、岩土地质工程、公路工程管理、交通土建、市政工程、给排水、地下空间盾构、工程造价（土建）、工程概预算、测绘工程、工程力学、试验检测、质检、焊接工程、国际工程管理、机场建设相关、安全工程、建筑设备与环境工程</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铁路工程、工程机械、机电及电气化（通信、信号、强电弱电）</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房屋建筑、房地产开发、房地产经营管理、暖通、园林绿化</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材料科学工程、无机非金属、物流、物资管理、国际贸易</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人力资源管理、劳动与社会保障、工商管理（含硕士）</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法学</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会计学、投资学、金融、税务、审计</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中文、汉语言文学、新闻、马哲、政治学</w:t>
      </w:r>
    </w:p>
    <w:p>
      <w:pPr>
        <w:pStyle w:val="13"/>
        <w:numPr>
          <w:ilvl w:val="0"/>
          <w:numId w:val="1"/>
        </w:numPr>
        <w:spacing w:line="360" w:lineRule="auto"/>
        <w:ind w:left="0" w:firstLine="567" w:firstLineChars="0"/>
        <w:rPr>
          <w:rFonts w:ascii="仿宋" w:hAnsi="仿宋" w:eastAsia="仿宋"/>
          <w:sz w:val="28"/>
          <w:szCs w:val="21"/>
        </w:rPr>
      </w:pPr>
      <w:r>
        <w:rPr>
          <w:rFonts w:hint="eastAsia" w:ascii="仿宋" w:hAnsi="仿宋" w:eastAsia="仿宋"/>
          <w:sz w:val="28"/>
          <w:szCs w:val="21"/>
        </w:rPr>
        <w:t>法语、葡萄牙语、阿拉伯语、西班牙语</w:t>
      </w:r>
    </w:p>
    <w:p>
      <w:pPr>
        <w:spacing w:line="360" w:lineRule="auto"/>
        <w:textAlignment w:val="baseline"/>
        <w:rPr>
          <w:rFonts w:ascii="仿宋" w:hAnsi="仿宋" w:eastAsia="仿宋"/>
          <w:b/>
          <w:kern w:val="0"/>
          <w:sz w:val="32"/>
          <w:szCs w:val="32"/>
        </w:rPr>
      </w:pPr>
      <w:r>
        <w:rPr>
          <w:rFonts w:hint="eastAsia" w:ascii="仿宋" w:hAnsi="仿宋" w:eastAsia="仿宋"/>
          <w:b/>
          <w:kern w:val="0"/>
          <w:sz w:val="32"/>
          <w:szCs w:val="32"/>
        </w:rPr>
        <w:t>人数：30人</w:t>
      </w:r>
    </w:p>
    <w:p>
      <w:pPr>
        <w:spacing w:line="360" w:lineRule="auto"/>
        <w:textAlignment w:val="baseline"/>
        <w:rPr>
          <w:rFonts w:ascii="仿宋" w:hAnsi="仿宋" w:eastAsia="仿宋"/>
          <w:b/>
          <w:kern w:val="0"/>
          <w:sz w:val="32"/>
          <w:szCs w:val="32"/>
        </w:rPr>
      </w:pPr>
      <w:r>
        <w:rPr>
          <w:rFonts w:hint="eastAsia" w:ascii="仿宋" w:hAnsi="仿宋" w:eastAsia="仿宋"/>
          <w:b/>
          <w:kern w:val="0"/>
          <w:sz w:val="32"/>
          <w:szCs w:val="32"/>
        </w:rPr>
        <w:t>联系人及联系电话：沈明  13260058611  010-65168171</w:t>
      </w:r>
    </w:p>
    <w:p>
      <w:pPr>
        <w:spacing w:line="360" w:lineRule="auto"/>
        <w:textAlignment w:val="baseline"/>
        <w:rPr>
          <w:rFonts w:hint="eastAsia" w:ascii="仿宋" w:hAnsi="仿宋" w:eastAsia="仿宋"/>
          <w:b/>
          <w:kern w:val="0"/>
          <w:sz w:val="32"/>
          <w:szCs w:val="32"/>
        </w:rPr>
      </w:pPr>
      <w:r>
        <w:rPr>
          <w:rFonts w:hint="eastAsia" w:ascii="仿宋" w:hAnsi="仿宋" w:eastAsia="仿宋"/>
          <w:b/>
          <w:kern w:val="0"/>
          <w:sz w:val="32"/>
          <w:szCs w:val="32"/>
        </w:rPr>
        <w:t>招聘日期：</w:t>
      </w:r>
      <w:r>
        <w:rPr>
          <w:rFonts w:ascii="仿宋" w:hAnsi="仿宋" w:eastAsia="仿宋"/>
          <w:b/>
          <w:kern w:val="0"/>
          <w:sz w:val="32"/>
          <w:szCs w:val="32"/>
          <w:highlight w:val="yellow"/>
        </w:rPr>
        <w:t>2016年9月</w:t>
      </w:r>
      <w:r>
        <w:rPr>
          <w:rFonts w:hint="eastAsia" w:ascii="仿宋" w:hAnsi="仿宋" w:eastAsia="仿宋"/>
          <w:b/>
          <w:kern w:val="0"/>
          <w:sz w:val="32"/>
          <w:szCs w:val="32"/>
          <w:highlight w:val="yellow"/>
        </w:rPr>
        <w:t>9日</w:t>
      </w:r>
      <w:r>
        <w:rPr>
          <w:rFonts w:hint="eastAsia" w:ascii="仿宋" w:hAnsi="仿宋" w:eastAsia="仿宋"/>
          <w:b/>
          <w:kern w:val="0"/>
          <w:sz w:val="32"/>
          <w:szCs w:val="32"/>
        </w:rPr>
        <w:t>下午14:00</w:t>
      </w:r>
    </w:p>
    <w:bookmarkEnd w:id="11"/>
    <w:p>
      <w:pPr>
        <w:spacing w:line="360" w:lineRule="auto"/>
        <w:textAlignment w:val="baseline"/>
        <w:rPr>
          <w:rFonts w:ascii="仿宋" w:hAnsi="仿宋" w:eastAsia="仿宋"/>
          <w:b/>
          <w:kern w:val="0"/>
          <w:sz w:val="32"/>
          <w:szCs w:val="32"/>
        </w:rPr>
      </w:pPr>
      <w:r>
        <w:rPr>
          <w:rFonts w:hint="eastAsia" w:ascii="仿宋" w:hAnsi="仿宋" w:eastAsia="仿宋"/>
          <w:b/>
          <w:kern w:val="0"/>
          <w:sz w:val="32"/>
          <w:szCs w:val="32"/>
        </w:rPr>
        <w:t>宣讲会地点:</w:t>
      </w:r>
      <w:r>
        <w:rPr>
          <w:rFonts w:hint="eastAsia" w:ascii="仿宋" w:hAnsi="仿宋" w:eastAsia="仿宋"/>
          <w:b/>
          <w:kern w:val="0"/>
          <w:sz w:val="32"/>
          <w:szCs w:val="32"/>
          <w:lang w:eastAsia="zh-CN"/>
        </w:rPr>
        <w:t>犀浦校区四教</w:t>
      </w:r>
      <w:r>
        <w:rPr>
          <w:rFonts w:hint="eastAsia" w:ascii="仿宋" w:hAnsi="仿宋" w:eastAsia="仿宋"/>
          <w:b/>
          <w:kern w:val="0"/>
          <w:sz w:val="32"/>
          <w:szCs w:val="32"/>
          <w:lang w:val="en-US" w:eastAsia="zh-CN"/>
        </w:rPr>
        <w:t>X4359</w:t>
      </w:r>
    </w:p>
    <w:bookmarkEnd w:id="1"/>
    <w:bookmarkEnd w:id="2"/>
    <w:bookmarkEnd w:id="3"/>
    <w:bookmarkEnd w:id="4"/>
    <w:bookmarkEnd w:id="5"/>
    <w:bookmarkEnd w:id="6"/>
    <w:bookmarkEnd w:id="7"/>
    <w:bookmarkEnd w:id="8"/>
    <w:bookmarkEnd w:id="9"/>
    <w:bookmarkEnd w:id="10"/>
    <w:p>
      <w:pPr>
        <w:pStyle w:val="2"/>
        <w:spacing w:before="0" w:after="0" w:line="360" w:lineRule="auto"/>
        <w:rPr>
          <w:rFonts w:hint="eastAsia" w:ascii="仿宋" w:hAnsi="仿宋" w:eastAsia="仿宋"/>
        </w:rPr>
      </w:pPr>
      <w:bookmarkStart w:id="12" w:name="_Toc458756150"/>
      <w:bookmarkStart w:id="13" w:name="OLE_LINK3"/>
      <w:bookmarkStart w:id="15" w:name="_GoBack"/>
      <w:bookmarkEnd w:id="15"/>
    </w:p>
    <w:p>
      <w:pPr>
        <w:pStyle w:val="2"/>
        <w:spacing w:before="0" w:after="0" w:line="360" w:lineRule="auto"/>
        <w:rPr>
          <w:rFonts w:ascii="仿宋" w:hAnsi="仿宋" w:eastAsia="仿宋"/>
        </w:rPr>
      </w:pPr>
      <w:r>
        <w:rPr>
          <w:rFonts w:hint="eastAsia" w:ascii="仿宋" w:hAnsi="仿宋" w:eastAsia="仿宋"/>
        </w:rPr>
        <w:t>中交一公局简介</w:t>
      </w:r>
      <w:bookmarkEnd w:id="12"/>
    </w:p>
    <w:p>
      <w:pPr>
        <w:jc w:val="center"/>
        <w:rPr>
          <w:rFonts w:ascii="黑体" w:hAnsi="黑体" w:eastAsia="黑体"/>
          <w:b/>
          <w:bCs/>
          <w:sz w:val="44"/>
          <w:szCs w:val="44"/>
        </w:rPr>
      </w:pPr>
    </w:p>
    <w:p>
      <w:pPr>
        <w:pStyle w:val="13"/>
        <w:numPr>
          <w:ilvl w:val="2"/>
          <w:numId w:val="2"/>
        </w:numPr>
        <w:spacing w:line="360" w:lineRule="auto"/>
        <w:ind w:left="0" w:firstLine="567" w:firstLineChars="0"/>
        <w:rPr>
          <w:rFonts w:ascii="仿宋" w:hAnsi="仿宋" w:eastAsia="仿宋"/>
          <w:b/>
          <w:bCs/>
          <w:sz w:val="24"/>
          <w:szCs w:val="32"/>
        </w:rPr>
      </w:pPr>
      <w:r>
        <w:rPr>
          <w:rFonts w:hint="eastAsia" w:ascii="仿宋" w:hAnsi="仿宋" w:eastAsia="仿宋"/>
          <w:b/>
          <w:bCs/>
          <w:sz w:val="24"/>
          <w:szCs w:val="32"/>
        </w:rPr>
        <w:t>公司有着悠久的历史沉淀和深厚的文化底蕴</w:t>
      </w:r>
    </w:p>
    <w:p>
      <w:pPr>
        <w:spacing w:line="360" w:lineRule="auto"/>
        <w:ind w:firstLine="480" w:firstLineChars="200"/>
        <w:rPr>
          <w:rFonts w:ascii="仿宋" w:hAnsi="仿宋" w:eastAsia="仿宋"/>
          <w:sz w:val="24"/>
          <w:szCs w:val="32"/>
        </w:rPr>
      </w:pPr>
      <w:bookmarkStart w:id="14" w:name="OLE_LINK1"/>
      <w:r>
        <w:rPr>
          <w:rFonts w:hint="eastAsia" w:ascii="仿宋" w:hAnsi="仿宋" w:eastAsia="仿宋"/>
          <w:sz w:val="24"/>
          <w:szCs w:val="32"/>
        </w:rPr>
        <w:t>中交第一公路工程局有限公司</w:t>
      </w:r>
      <w:bookmarkEnd w:id="14"/>
      <w:r>
        <w:rPr>
          <w:rFonts w:hint="eastAsia" w:ascii="仿宋" w:hAnsi="仿宋" w:eastAsia="仿宋"/>
          <w:sz w:val="24"/>
          <w:szCs w:val="32"/>
        </w:rPr>
        <w:t>（以下简称：公司）的前身是中国人民解放军公路一师，原隶属于交通部。</w:t>
      </w:r>
      <w:r>
        <w:rPr>
          <w:rFonts w:hint="eastAsia" w:ascii="仿宋" w:hAnsi="仿宋" w:eastAsia="仿宋"/>
          <w:kern w:val="52"/>
          <w:sz w:val="24"/>
          <w:szCs w:val="32"/>
        </w:rPr>
        <w:t>1963年4月由交通部公路工程局改组</w:t>
      </w:r>
      <w:r>
        <w:rPr>
          <w:rFonts w:hint="eastAsia" w:ascii="仿宋" w:hAnsi="仿宋" w:eastAsia="仿宋"/>
          <w:sz w:val="24"/>
          <w:szCs w:val="32"/>
        </w:rPr>
        <w:t>为交通部第一公路工程局。1987年实行公司制改造，公司名称变更为交通部第一公路工程总公司。1999年12月体制改革后，成为路桥集团的全资子公司，更名为路桥集团第一公路工程局。2005年10月路桥集团与中港集团合并重组，成立中国交通建设集团有限公司（世界500强110位），公司由此成为中国交通建设集团有限公司全资子公司。2006年随中交集团整体上市，公司改制成为中国交通建设股份有限公司一个法人股东的有限责任公司，10月在中交集团整体重组改制统一规范集团所属企业名称登记中，变更为中交第一公路工程局有限公司，属于国资委管理的大型国有企业，注册资本金43.67亿元，目前有员工一万三千多人。</w:t>
      </w:r>
    </w:p>
    <w:p>
      <w:pPr>
        <w:spacing w:line="360" w:lineRule="auto"/>
        <w:ind w:firstLine="480" w:firstLineChars="200"/>
        <w:rPr>
          <w:rFonts w:ascii="仿宋" w:hAnsi="仿宋" w:eastAsia="仿宋" w:cs="仿宋"/>
          <w:color w:val="000000"/>
          <w:spacing w:val="-6"/>
          <w:sz w:val="24"/>
          <w:szCs w:val="32"/>
        </w:rPr>
      </w:pPr>
      <w:r>
        <w:rPr>
          <w:rFonts w:hint="eastAsia" w:ascii="仿宋" w:hAnsi="仿宋" w:eastAsia="仿宋"/>
          <w:sz w:val="24"/>
          <w:szCs w:val="32"/>
        </w:rPr>
        <w:t>公司</w:t>
      </w:r>
      <w:r>
        <w:rPr>
          <w:rFonts w:hint="eastAsia" w:ascii="仿宋" w:hAnsi="仿宋" w:eastAsia="仿宋"/>
          <w:kern w:val="52"/>
          <w:sz w:val="24"/>
          <w:szCs w:val="32"/>
        </w:rPr>
        <w:t>是一个以承建国内外高等级公路及市政工程为主，兼营铁路、房建、水港、机场、站场、车场等土木工程的施工，集施工、设计、科研、监理和多种经营为一体的国家特大型公路施工企业。</w:t>
      </w:r>
      <w:r>
        <w:rPr>
          <w:rFonts w:hint="eastAsia" w:ascii="仿宋" w:hAnsi="仿宋" w:eastAsia="仿宋"/>
          <w:sz w:val="24"/>
          <w:szCs w:val="32"/>
        </w:rPr>
        <w:t>成立50多年来，公司参加过为抵御外来侵略修建的国防公路工程、为抗震救灾修建的桥梁工程、改革开放后修建的第一条世界银行贷款公路——京津塘高速公路。此后又参建过沪宁、济青、京石、青银高速公路等一大批具有标志性的高速公路工程。进入铁路市场以来，参建了石武、南钦、京沪、哈大、太中银、沈丹、沪昆、兰渝等一大批铁路项目。在对外经援中参加了援助蒙古、尼泊尔、南也门、布隆迪、卢旺达等国的公路建设。在走出国门承包国际工程中，先后进入了布隆迪、乌干达、肯尼亚、喀麦隆、刚果（金）、埃塞俄比亚等国的工程施工市场。公司足迹遍及20多个国家，以优质、守信为企业拓展了更广泛的国际市场。半个多世纪的风雨征程，使得公司真正担负起了“公路行业建设者、引领者、提高者”的时代重任，保持着高速发展，始终处于行业的领军位置，在公路行业建设史上立下了不朽的功绩。据不完全统计，到2015年底，公司</w:t>
      </w:r>
      <w:r>
        <w:rPr>
          <w:rFonts w:hint="eastAsia" w:ascii="仿宋" w:hAnsi="仿宋" w:eastAsia="仿宋" w:cs="仿宋"/>
          <w:color w:val="000000"/>
          <w:spacing w:val="-6"/>
          <w:sz w:val="24"/>
          <w:szCs w:val="32"/>
        </w:rPr>
        <w:t>共修建各种等级公路18000多公里，其中高速公路占国内高速公路通车里程的10%以上；修建各类桥梁6000余座、隧道千余公里、铁路千公里、市政工程2000多公里、轨道交通百公里。荣获“全国优秀施工企业”、“全国文明单位”、“全国五一劳动奖状”、“全国工人先锋号”等40多项企业最高奖，荣获中国施工企业工程建设企业管理现代化管理成果奖11项，中国建筑工程鲁班奖12项、中国土木工程詹天佑大奖8项、国家优质工程奖16项、火车头奖杯10项、中国企业新纪录奖5项。</w:t>
      </w:r>
    </w:p>
    <w:p>
      <w:pPr>
        <w:pStyle w:val="13"/>
        <w:numPr>
          <w:ilvl w:val="2"/>
          <w:numId w:val="2"/>
        </w:numPr>
        <w:spacing w:line="360" w:lineRule="auto"/>
        <w:ind w:left="0" w:firstLine="567" w:firstLineChars="0"/>
        <w:rPr>
          <w:rFonts w:ascii="仿宋" w:hAnsi="仿宋" w:eastAsia="仿宋"/>
          <w:b/>
          <w:bCs/>
          <w:sz w:val="24"/>
          <w:szCs w:val="32"/>
        </w:rPr>
      </w:pPr>
      <w:r>
        <w:rPr>
          <w:rFonts w:hint="eastAsia" w:ascii="仿宋" w:hAnsi="仿宋" w:eastAsia="仿宋"/>
          <w:b/>
          <w:bCs/>
          <w:sz w:val="24"/>
          <w:szCs w:val="32"/>
        </w:rPr>
        <w:t>公司有着先进的经营理念和合理的经营布局</w:t>
      </w:r>
    </w:p>
    <w:p>
      <w:pPr>
        <w:spacing w:line="360" w:lineRule="auto"/>
        <w:ind w:firstLine="480" w:firstLineChars="200"/>
        <w:rPr>
          <w:rFonts w:ascii="仿宋" w:hAnsi="仿宋" w:eastAsia="仿宋"/>
          <w:sz w:val="24"/>
          <w:szCs w:val="32"/>
        </w:rPr>
      </w:pPr>
      <w:r>
        <w:rPr>
          <w:rFonts w:hint="eastAsia" w:ascii="仿宋" w:hAnsi="仿宋" w:eastAsia="仿宋"/>
          <w:sz w:val="24"/>
          <w:szCs w:val="32"/>
        </w:rPr>
        <w:t>公司目前拥有36个全资子公司，有一、二、三、四、五、六、厦门、华祥、海威、桥隧公司等10家大型施工企业，还有14个项目投资建设公司、2个海外公司、1个勘察设计院、1个监理咨询公司、1个建筑研究院、1个交通工程公司、1个机械制造加工公司、1个物业公司、1个资产管理公司、1个房地产公司、2个物资商贸公司；有17个分公司、6个区域总部（区域分公司）、5个海外区域公司，3个参股公司等。公司及所属各单位共取得19个类别88项建筑业企业资质，其中：公路工程施工总承包特级资质1个；公路行业设计甲级资质1个；公路工程施工总承包壹级资质10个；市政公用工程施工总承包壹级资质10个、市政公用工程施工总承包叁级资质1个；房屋建筑工程施工总承包壹级资质1个、房屋建筑工程施工总承包叁级资质2个；港口与航道工程施工总承包贰级1个；铁路工程施工总承包叁级3个；公路路基工程专业承包壹级资质11个；公路路面工程专业承包壹级资质11个；桥梁工程专业承包壹级资质11个；隧道工程专业承包壹级资质7个、贰级资质4个；钢结构工程专业承包壹级资质1个、贰级资质1个、叁级资质1个；管道工程专业承包壹级资质1个；土石方工程专业承包壹级资质1个；地基与基础工程专业承包壹级资质1个；预拌商品混凝土工程专业承包贰级资质1个；公路养护工程施工从业二类（甲级）资质1个、二类（乙级）资质1个；公路养护工程专业承包叁级1个；防腐保温工程专业承包叁级资质1个；公路交通工程专业资质3个。公司持续推进转型升级，积极向高速公路建设以外的市场渗透，业务范围由过去单一的公路建设市场扩展到铁路、市政、房建、地铁等工程领域；并结合企业实际，不断增强咨询、检测、设计、钢结构加工等业务能力；同时不断向高附加值投资领域拓展，截至2015年底，公司累计完成投资总额402亿元，投资合同总额601亿元，投资类形成资产已占公司资产的50%以上，投资拉动效益凸显。2016年，公司在建项目近400个，其中国外50余个；分布在全国29个省区市，海外15个国家。近年来，公司在经营规模、经营业绩、技术水平、企业形象上均有较大幅度的提升，“中交一公局”在市场上享有较高的知名度。</w:t>
      </w:r>
    </w:p>
    <w:p>
      <w:pPr>
        <w:pStyle w:val="13"/>
        <w:numPr>
          <w:ilvl w:val="2"/>
          <w:numId w:val="2"/>
        </w:numPr>
        <w:spacing w:line="360" w:lineRule="auto"/>
        <w:ind w:left="0" w:firstLine="567" w:firstLineChars="0"/>
        <w:rPr>
          <w:rFonts w:ascii="仿宋" w:hAnsi="仿宋" w:eastAsia="仿宋"/>
          <w:b/>
          <w:bCs/>
          <w:sz w:val="24"/>
          <w:szCs w:val="32"/>
        </w:rPr>
      </w:pPr>
      <w:r>
        <w:rPr>
          <w:rFonts w:hint="eastAsia" w:ascii="仿宋" w:hAnsi="仿宋" w:eastAsia="仿宋"/>
          <w:b/>
          <w:bCs/>
          <w:sz w:val="24"/>
          <w:szCs w:val="32"/>
        </w:rPr>
        <w:t>公司有着雄厚的经济实力和技术实力</w:t>
      </w:r>
    </w:p>
    <w:p>
      <w:pPr>
        <w:spacing w:line="360" w:lineRule="auto"/>
        <w:ind w:firstLine="480" w:firstLineChars="200"/>
        <w:rPr>
          <w:rFonts w:ascii="仿宋" w:hAnsi="仿宋" w:eastAsia="仿宋"/>
          <w:sz w:val="24"/>
          <w:szCs w:val="32"/>
        </w:rPr>
      </w:pPr>
      <w:r>
        <w:rPr>
          <w:rFonts w:hint="eastAsia" w:ascii="仿宋" w:hAnsi="仿宋" w:eastAsia="仿宋"/>
          <w:kern w:val="0"/>
          <w:sz w:val="24"/>
          <w:szCs w:val="32"/>
        </w:rPr>
        <w:t>公司注重</w:t>
      </w:r>
      <w:r>
        <w:rPr>
          <w:rFonts w:ascii="仿宋" w:hAnsi="仿宋" w:eastAsia="仿宋"/>
          <w:kern w:val="0"/>
          <w:sz w:val="24"/>
          <w:szCs w:val="32"/>
        </w:rPr>
        <w:t>以质量求生存，以信誉求发展</w:t>
      </w:r>
      <w:r>
        <w:rPr>
          <w:rFonts w:hint="eastAsia" w:ascii="仿宋" w:hAnsi="仿宋" w:eastAsia="仿宋"/>
          <w:kern w:val="0"/>
          <w:sz w:val="24"/>
          <w:szCs w:val="32"/>
        </w:rPr>
        <w:t>，</w:t>
      </w:r>
      <w:r>
        <w:rPr>
          <w:rFonts w:hint="eastAsia" w:ascii="仿宋" w:hAnsi="仿宋" w:eastAsia="仿宋"/>
          <w:sz w:val="24"/>
          <w:szCs w:val="32"/>
        </w:rPr>
        <w:t>近十年来，公司以技术创新为优势承接了大量技术含量高、施工难度大、工艺结构复杂的全国重点工程，创建出一大批精品工程。同时，通过一体化经营、项目目标成本管理、“三、三制”人才战略工程和信息化工程等一系列管理创新成果的应用，使得企业向管理集约型转换并取得了迅猛发展，顺利实现了第二次飞跃</w:t>
      </w:r>
      <w:r>
        <w:rPr>
          <w:rFonts w:ascii="仿宋" w:hAnsi="仿宋" w:eastAsia="仿宋"/>
          <w:kern w:val="0"/>
          <w:sz w:val="24"/>
          <w:szCs w:val="32"/>
        </w:rPr>
        <w:t>。</w:t>
      </w:r>
      <w:r>
        <w:rPr>
          <w:rFonts w:hint="eastAsia" w:ascii="仿宋" w:hAnsi="仿宋" w:eastAsia="仿宋"/>
          <w:kern w:val="0"/>
          <w:sz w:val="24"/>
          <w:szCs w:val="32"/>
        </w:rPr>
        <w:t>截止2015年底，公司共取得国家级工法5项、发明专利24项、实用新型专利195项，主编和参编过7项行业标准。</w:t>
      </w:r>
      <w:r>
        <w:rPr>
          <w:rFonts w:hint="eastAsia" w:ascii="仿宋" w:hAnsi="仿宋" w:eastAsia="仿宋"/>
          <w:bCs/>
          <w:sz w:val="24"/>
          <w:szCs w:val="32"/>
        </w:rPr>
        <w:t>截至</w:t>
      </w:r>
      <w:r>
        <w:rPr>
          <w:rFonts w:hint="eastAsia" w:ascii="仿宋" w:hAnsi="仿宋" w:eastAsia="仿宋"/>
          <w:sz w:val="24"/>
          <w:szCs w:val="32"/>
        </w:rPr>
        <w:t>2015年底，公司资产总额558亿元，所有者权益77亿元。公司去年完成合同额558亿元，完成营业收入550亿元，实现利润13.52亿元，各项指标在中国交建各子分公司中处于领先地位。公司以技术创新为优势承接了大量技术含量高、施工难度大、工艺结构复杂的全国重点工程，创建出一大批精品工程。在施工中大量采用新工艺、新技术，加大了科技投资，投资数亿元资金购置新设备。为使新技术、新工艺尽快形成生产力，公司成立了技术中心</w:t>
      </w:r>
      <w:r>
        <w:rPr>
          <w:rFonts w:ascii="仿宋" w:hAnsi="仿宋" w:eastAsia="仿宋"/>
          <w:kern w:val="0"/>
          <w:sz w:val="24"/>
          <w:szCs w:val="32"/>
        </w:rPr>
        <w:t>，提高了技术自主能力，加快了企业进步的步伐，使企业蓬勃发展</w:t>
      </w:r>
      <w:r>
        <w:rPr>
          <w:rFonts w:hint="eastAsia" w:ascii="仿宋" w:hAnsi="仿宋" w:eastAsia="仿宋"/>
          <w:sz w:val="24"/>
          <w:szCs w:val="32"/>
        </w:rPr>
        <w:t>，同时，不断加强内外部专家团队建设，提高了技术管理水平和研发力量。</w:t>
      </w:r>
    </w:p>
    <w:p>
      <w:pPr>
        <w:pStyle w:val="13"/>
        <w:numPr>
          <w:ilvl w:val="2"/>
          <w:numId w:val="2"/>
        </w:numPr>
        <w:spacing w:line="360" w:lineRule="auto"/>
        <w:ind w:left="0" w:firstLine="567" w:firstLineChars="0"/>
        <w:rPr>
          <w:rFonts w:ascii="仿宋" w:hAnsi="仿宋" w:eastAsia="仿宋"/>
          <w:b/>
          <w:bCs/>
          <w:sz w:val="24"/>
          <w:szCs w:val="32"/>
        </w:rPr>
      </w:pPr>
      <w:r>
        <w:rPr>
          <w:rFonts w:hint="eastAsia" w:ascii="仿宋" w:hAnsi="仿宋" w:eastAsia="仿宋"/>
          <w:b/>
          <w:bCs/>
          <w:sz w:val="24"/>
          <w:szCs w:val="32"/>
        </w:rPr>
        <w:t>公司有着良好的用人机制和优秀的人才队伍</w:t>
      </w:r>
    </w:p>
    <w:p>
      <w:pPr>
        <w:spacing w:line="360" w:lineRule="auto"/>
        <w:ind w:firstLine="480" w:firstLineChars="200"/>
        <w:rPr>
          <w:rFonts w:ascii="仿宋" w:hAnsi="仿宋" w:eastAsia="仿宋"/>
          <w:sz w:val="24"/>
          <w:szCs w:val="32"/>
        </w:rPr>
      </w:pPr>
      <w:r>
        <w:rPr>
          <w:rFonts w:hint="eastAsia" w:ascii="仿宋" w:hAnsi="仿宋" w:eastAsia="仿宋" w:cs="宋体"/>
          <w:kern w:val="0"/>
          <w:sz w:val="24"/>
          <w:szCs w:val="32"/>
          <w:shd w:val="clear" w:color="auto" w:fill="FFFFFF"/>
        </w:rPr>
        <w:t>公司始终坚持“德才兼备，以德为先”的人才培养方针，高度关注员工成长，在工作实践中逐步培养和锻炼了一批年轻有为、懂技术、善管理的复合型人才，目前公司拥有教授级高级工程师70余人，副高级职称近800人，本科及以学历近8000人，一级建造师近750人，并拥有公司级技术专家20余人。近几年的毕业生目前大部分已经成为了各个项目的业务骨干，甚至有的已经走上了项目领导岗位。公司为加快实施人才优先发展战略，提出了“11515”重点人才培养方案。即重点培养100名优秀的中青年骨干管理人才（公司管干部）、100核心技术创新人才（局级专家、公司级专家、青年英才）、500名优秀项目管理人才（项目经理层）、1000名优秀基础专业技术代表（优秀青年专业技术干部）、500名优秀职业技能人才（各级各类岗位技能人才）。良好的人才培养机制和用人机制，为人才成长发展创造良好的条件。</w:t>
      </w:r>
    </w:p>
    <w:p>
      <w:pPr>
        <w:pStyle w:val="13"/>
        <w:numPr>
          <w:ilvl w:val="2"/>
          <w:numId w:val="2"/>
        </w:numPr>
        <w:spacing w:line="360" w:lineRule="auto"/>
        <w:ind w:left="0" w:firstLine="567" w:firstLineChars="0"/>
        <w:rPr>
          <w:rFonts w:ascii="仿宋" w:hAnsi="仿宋" w:eastAsia="仿宋"/>
          <w:b/>
          <w:bCs/>
          <w:sz w:val="24"/>
          <w:szCs w:val="32"/>
        </w:rPr>
      </w:pPr>
      <w:r>
        <w:rPr>
          <w:rFonts w:hint="eastAsia" w:ascii="仿宋" w:hAnsi="仿宋" w:eastAsia="仿宋"/>
          <w:b/>
          <w:bCs/>
          <w:sz w:val="24"/>
          <w:szCs w:val="32"/>
        </w:rPr>
        <w:t>公司有着全新的战略格局和强大的发展动力</w:t>
      </w:r>
    </w:p>
    <w:p>
      <w:pPr>
        <w:spacing w:line="360" w:lineRule="auto"/>
        <w:ind w:firstLine="480" w:firstLineChars="200"/>
        <w:rPr>
          <w:rFonts w:ascii="仿宋" w:hAnsi="仿宋" w:eastAsia="仿宋"/>
          <w:sz w:val="24"/>
          <w:szCs w:val="32"/>
        </w:rPr>
      </w:pPr>
      <w:r>
        <w:rPr>
          <w:rFonts w:hint="eastAsia" w:ascii="仿宋" w:hAnsi="仿宋" w:eastAsia="仿宋" w:cs="宋体"/>
          <w:kern w:val="0"/>
          <w:sz w:val="24"/>
          <w:szCs w:val="32"/>
          <w:shd w:val="clear" w:color="auto" w:fill="FFFFFF"/>
        </w:rPr>
        <w:t>随着我国经济发展进入新常态，结合企业发展的阶段性特征，公司党委提出了构建“立足基础设施，做强承包商、做好发展商、做优运营商”的发展战略新格局。公司去年年底召开的</w:t>
      </w:r>
      <w:r>
        <w:rPr>
          <w:rFonts w:hint="eastAsia" w:ascii="仿宋" w:hAnsi="仿宋" w:eastAsia="仿宋" w:cs="宋体"/>
          <w:sz w:val="24"/>
          <w:szCs w:val="32"/>
        </w:rPr>
        <w:t>第十一次党代会，围绕“五商中交”战略部署，对“十三五”发展愿景进行了规划，提出了“一三三四”奋斗目标，确立了未来一段时间的发展蓝图。为推动新格局全面落地，实现奋斗目标，公司组织开</w:t>
      </w:r>
      <w:r>
        <w:rPr>
          <w:rFonts w:hint="eastAsia" w:ascii="仿宋" w:hAnsi="仿宋" w:eastAsia="仿宋" w:cs="宋体"/>
          <w:kern w:val="0"/>
          <w:sz w:val="24"/>
          <w:szCs w:val="32"/>
          <w:shd w:val="clear" w:color="auto" w:fill="FFFFFF"/>
        </w:rPr>
        <w:t>展了“规范制度落实”主题年、“领导班子建设”、“机关能力素质建设”等三项活动，深入推行了“设计方案评审机制”、“项目前期策划机制”和“督导稽查机制”三项机制，使企业战略和目标分解细化，企业战略新格局有效贯彻到每个环节并发挥了作用，稳步提高了效率与效益。</w:t>
      </w:r>
    </w:p>
    <w:p>
      <w:pPr>
        <w:spacing w:line="360" w:lineRule="auto"/>
        <w:ind w:firstLine="480" w:firstLineChars="200"/>
        <w:rPr>
          <w:rFonts w:ascii="仿宋" w:hAnsi="仿宋" w:eastAsia="仿宋" w:cs="宋体"/>
          <w:kern w:val="0"/>
          <w:sz w:val="24"/>
          <w:szCs w:val="32"/>
          <w:shd w:val="clear" w:color="auto" w:fill="FFFFFF"/>
        </w:rPr>
      </w:pPr>
      <w:r>
        <w:rPr>
          <w:rFonts w:hint="eastAsia" w:ascii="仿宋" w:hAnsi="仿宋" w:eastAsia="仿宋" w:cs="宋体"/>
          <w:kern w:val="0"/>
          <w:sz w:val="24"/>
          <w:szCs w:val="32"/>
          <w:shd w:val="clear" w:color="auto" w:fill="FFFFFF"/>
        </w:rPr>
        <w:t>公司全体职工正以饱满的工作热情，努力拼搏的工作态度，积极肩负起：“公路行业建设者、引领者、提高者”的时代重任，以中国交建“交融天下、建者无疆”的企业精神，为繁荣国民经济，建设和谐社会努力工作，使企业保持高速发展，始终处于行业的领军位置。</w:t>
      </w:r>
    </w:p>
    <w:bookmarkEnd w:id="13"/>
    <w:p>
      <w:pPr>
        <w:jc w:val="center"/>
        <w:rPr>
          <w:rFonts w:ascii="仿宋" w:hAnsi="仿宋" w:eastAsia="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022D4"/>
    <w:multiLevelType w:val="multilevel"/>
    <w:tmpl w:val="64A022D4"/>
    <w:lvl w:ilvl="0" w:tentative="0">
      <w:start w:val="1"/>
      <w:numFmt w:val="japaneseCounting"/>
      <w:lvlText w:val="（%1）"/>
      <w:lvlJc w:val="left"/>
      <w:pPr>
        <w:ind w:left="420" w:hanging="420"/>
      </w:pPr>
      <w:rPr>
        <w:rFonts w:hint="default"/>
      </w:rPr>
    </w:lvl>
    <w:lvl w:ilvl="1" w:tentative="0">
      <w:start w:val="1"/>
      <w:numFmt w:val="chineseCountingThousand"/>
      <w:lvlText w:val="(%2)"/>
      <w:lvlJc w:val="left"/>
      <w:pPr>
        <w:ind w:left="840" w:hanging="420"/>
      </w:p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E77D42"/>
    <w:multiLevelType w:val="multilevel"/>
    <w:tmpl w:val="71E77D42"/>
    <w:lvl w:ilvl="0" w:tentative="0">
      <w:start w:val="1"/>
      <w:numFmt w:val="decimal"/>
      <w:lvlText w:val="%1、"/>
      <w:lvlJc w:val="left"/>
      <w:pPr>
        <w:ind w:left="1620" w:hanging="4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7580"/>
    <w:rsid w:val="00127FB1"/>
    <w:rsid w:val="00173822"/>
    <w:rsid w:val="00276877"/>
    <w:rsid w:val="002B255A"/>
    <w:rsid w:val="002D653A"/>
    <w:rsid w:val="003C0F80"/>
    <w:rsid w:val="003F2236"/>
    <w:rsid w:val="004042AE"/>
    <w:rsid w:val="004F013E"/>
    <w:rsid w:val="00505845"/>
    <w:rsid w:val="00523F72"/>
    <w:rsid w:val="005B5D86"/>
    <w:rsid w:val="005C6EDA"/>
    <w:rsid w:val="005D4892"/>
    <w:rsid w:val="006622FC"/>
    <w:rsid w:val="006B7B32"/>
    <w:rsid w:val="006C7951"/>
    <w:rsid w:val="006D7580"/>
    <w:rsid w:val="0079359F"/>
    <w:rsid w:val="00812B32"/>
    <w:rsid w:val="00817067"/>
    <w:rsid w:val="008814B8"/>
    <w:rsid w:val="008B297D"/>
    <w:rsid w:val="00953933"/>
    <w:rsid w:val="00A0168B"/>
    <w:rsid w:val="00A861FA"/>
    <w:rsid w:val="00AA110A"/>
    <w:rsid w:val="00AD3D10"/>
    <w:rsid w:val="00B9669E"/>
    <w:rsid w:val="00BD3514"/>
    <w:rsid w:val="00BE0C53"/>
    <w:rsid w:val="00C178EE"/>
    <w:rsid w:val="00C413C6"/>
    <w:rsid w:val="00C95FD9"/>
    <w:rsid w:val="00CF3F0A"/>
    <w:rsid w:val="00D31A0F"/>
    <w:rsid w:val="00D9082F"/>
    <w:rsid w:val="00DA18AD"/>
    <w:rsid w:val="00DC01EA"/>
    <w:rsid w:val="00E36D81"/>
    <w:rsid w:val="00E41C3F"/>
    <w:rsid w:val="00E76E89"/>
    <w:rsid w:val="00EB1C54"/>
    <w:rsid w:val="00EC5D29"/>
    <w:rsid w:val="00FB74D1"/>
    <w:rsid w:val="00FC412D"/>
    <w:rsid w:val="3AFC786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7"/>
    <w:link w:val="6"/>
    <w:uiPriority w:val="99"/>
    <w:rPr>
      <w:sz w:val="18"/>
      <w:szCs w:val="18"/>
    </w:rPr>
  </w:style>
  <w:style w:type="character" w:customStyle="1" w:styleId="10">
    <w:name w:val="页脚 Char"/>
    <w:basedOn w:val="7"/>
    <w:link w:val="5"/>
    <w:qFormat/>
    <w:uiPriority w:val="99"/>
    <w:rPr>
      <w:sz w:val="18"/>
      <w:szCs w:val="18"/>
    </w:rPr>
  </w:style>
  <w:style w:type="character" w:customStyle="1" w:styleId="11">
    <w:name w:val="标题 3 Char"/>
    <w:basedOn w:val="7"/>
    <w:link w:val="3"/>
    <w:qFormat/>
    <w:uiPriority w:val="9"/>
    <w:rPr>
      <w:rFonts w:ascii="Times New Roman" w:hAnsi="Times New Roman" w:eastAsia="宋体" w:cs="Times New Roman"/>
      <w:b/>
      <w:bCs/>
      <w:sz w:val="32"/>
      <w:szCs w:val="32"/>
    </w:rPr>
  </w:style>
  <w:style w:type="character" w:customStyle="1" w:styleId="12">
    <w:name w:val="批注框文本 Char"/>
    <w:basedOn w:val="7"/>
    <w:link w:val="4"/>
    <w:semiHidden/>
    <w:uiPriority w:val="99"/>
    <w:rPr>
      <w:rFonts w:ascii="Times New Roman" w:hAnsi="Times New Roman" w:eastAsia="宋体" w:cs="Times New Roman"/>
      <w:sz w:val="18"/>
      <w:szCs w:val="18"/>
    </w:rPr>
  </w:style>
  <w:style w:type="paragraph" w:customStyle="1"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标题 1 Char"/>
    <w:basedOn w:val="7"/>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558</Words>
  <Characters>3184</Characters>
  <Lines>26</Lines>
  <Paragraphs>7</Paragraphs>
  <TotalTime>0</TotalTime>
  <ScaleCrop>false</ScaleCrop>
  <LinksUpToDate>false</LinksUpToDate>
  <CharactersWithSpaces>3735</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2016-09-02T08:32:00Z</dcterms:created>
  <dc:creator>李木子</dc:creator>
  <cp:lastModifiedBy>user</cp:lastModifiedBy>
  <dcterms:modified xsi:type="dcterms:W3CDTF">2016-09-05T10:28:34Z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