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Default ContentType="image/png" Extension="png"/>
  <Default ContentType="image/jpeg" Extension="jpe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sz w:val="28"/>
          <w:szCs w:val="28"/>
        </w:rPr>
      </w:pPr>
      <w:r>
        <w:rPr>
          <w:rFonts w:hint="eastAsia"/>
          <w:sz w:val="28"/>
          <w:szCs w:val="28"/>
        </w:rPr>
        <w:t>中电十所2017年校园招聘简章</w:t>
      </w:r>
    </w:p>
    <w:p>
      <w:pPr>
        <w:pStyle w:val="9"/>
        <w:numPr>
          <w:ilvl w:val="0"/>
          <w:numId w:val="1"/>
        </w:numPr>
        <w:ind w:firstLineChars="0"/>
        <w:jc w:val="left"/>
        <w:rPr>
          <w:sz w:val="28"/>
          <w:szCs w:val="28"/>
        </w:rPr>
      </w:pPr>
      <w:r>
        <w:rPr>
          <w:rFonts w:hint="eastAsia"/>
          <w:sz w:val="28"/>
          <w:szCs w:val="28"/>
        </w:rPr>
        <w:t>十所简介</w:t>
      </w:r>
    </w:p>
    <w:p>
      <w:pPr>
        <w:ind w:firstLine="420" w:firstLineChars="200"/>
        <w:jc w:val="left"/>
        <w:rPr>
          <w:szCs w:val="21"/>
        </w:rPr>
      </w:pPr>
      <w:r>
        <w:rPr>
          <w:rFonts w:hint="eastAsia"/>
          <w:szCs w:val="21"/>
        </w:rPr>
        <w:t>1955年成立于北京，定名为“第二机械工业部第十研究所”，是新中国成立后建立的第一个综合性电子技术研究所。1957年迁址成都。2002年，正式更名为“中国电子科技集团公司第十研究所”。经过60年的发展，逐步形成以军品、民品和对外贸易为主要发展方向的新局面，并在航空电子、通信数据链、航天电子、情报侦察、敌我识别五大领域的总体设计、系统集成、设备开发等方面取得巨大成就。十所先后研制生产电子设备约6000余部（套），获国家、部、省级科技成果奖350余项，其中国家发明奖1项、国家科技进步特等奖9项、一等奖8项、二等奖18项，全国科学大会重大成果奖9项。获得国家质量金奖1枚，银质奖4枚。曾荣获第一批“全国文明单位”称号，多次荣获“全国五一劳动奖”。</w:t>
      </w:r>
    </w:p>
    <w:p>
      <w:pPr>
        <w:pStyle w:val="9"/>
        <w:numPr>
          <w:ilvl w:val="0"/>
          <w:numId w:val="1"/>
        </w:numPr>
        <w:ind w:firstLineChars="0"/>
        <w:jc w:val="left"/>
        <w:rPr>
          <w:sz w:val="28"/>
          <w:szCs w:val="28"/>
        </w:rPr>
      </w:pPr>
      <w:r>
        <w:rPr>
          <w:rFonts w:hint="eastAsia"/>
          <w:sz w:val="28"/>
          <w:szCs w:val="28"/>
        </w:rPr>
        <w:t>招聘岗位及专业</w:t>
      </w:r>
    </w:p>
    <w:tbl>
      <w:tblPr>
        <w:tblStyle w:val="8"/>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center"/>
          </w:tcPr>
          <w:p>
            <w:pPr>
              <w:jc w:val="center"/>
              <w:rPr>
                <w:b/>
              </w:rPr>
            </w:pPr>
            <w:r>
              <w:rPr>
                <w:rFonts w:hint="eastAsia"/>
                <w:b/>
              </w:rPr>
              <w:t>已发布职位</w:t>
            </w:r>
          </w:p>
        </w:tc>
        <w:tc>
          <w:tcPr>
            <w:tcW w:w="4261" w:type="dxa"/>
            <w:vAlign w:val="center"/>
          </w:tcPr>
          <w:p>
            <w:pPr>
              <w:jc w:val="center"/>
              <w:rPr>
                <w:b/>
              </w:rPr>
            </w:pPr>
            <w:r>
              <w:rPr>
                <w:rFonts w:hint="eastAsia"/>
                <w:b/>
              </w:rPr>
              <w:t>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center"/>
          </w:tcPr>
          <w:p>
            <w:pPr>
              <w:jc w:val="center"/>
            </w:pPr>
            <w:r>
              <w:rPr>
                <w:rFonts w:hint="eastAsia"/>
              </w:rPr>
              <w:t>信号与信息处理（含雷达）</w:t>
            </w:r>
          </w:p>
        </w:tc>
        <w:tc>
          <w:tcPr>
            <w:tcW w:w="4261" w:type="dxa"/>
            <w:vAlign w:val="center"/>
          </w:tcPr>
          <w:p>
            <w:pPr>
              <w:jc w:val="center"/>
            </w:pPr>
            <w:r>
              <w:rPr>
                <w:rFonts w:hint="eastAsia"/>
              </w:rPr>
              <w:t>信号与信息处理、雷达信号处理、水声工程、火控、飞行器设计、量子物理、导航制导与控制（综合制导方向）、无线电物理、光学工程、电子科学与技术、信息工程、系统工程、应用数学、遥感与测绘、模式识别与智能系统、人工智能及应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center"/>
          </w:tcPr>
          <w:p>
            <w:pPr>
              <w:jc w:val="center"/>
            </w:pPr>
            <w:r>
              <w:rPr>
                <w:rFonts w:hint="eastAsia"/>
              </w:rPr>
              <w:t>通信与信息系统</w:t>
            </w:r>
          </w:p>
        </w:tc>
        <w:tc>
          <w:tcPr>
            <w:tcW w:w="4261" w:type="dxa"/>
            <w:vAlign w:val="center"/>
          </w:tcPr>
          <w:p>
            <w:pPr>
              <w:jc w:val="center"/>
            </w:pPr>
            <w:r>
              <w:rPr>
                <w:rFonts w:hint="eastAsia"/>
              </w:rPr>
              <w:t>通信与信息系统、通信工程、光学工程（光通信方向）、无线电物理、电子科学与技术、信息工程、系统工程、电子科学与技术等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center"/>
          </w:tcPr>
          <w:p>
            <w:pPr>
              <w:jc w:val="center"/>
            </w:pPr>
            <w:r>
              <w:rPr>
                <w:rFonts w:hint="eastAsia"/>
              </w:rPr>
              <w:t>电路与系统</w:t>
            </w:r>
          </w:p>
        </w:tc>
        <w:tc>
          <w:tcPr>
            <w:tcW w:w="4261" w:type="dxa"/>
            <w:vAlign w:val="center"/>
          </w:tcPr>
          <w:p>
            <w:pPr>
              <w:jc w:val="center"/>
            </w:pPr>
            <w:r>
              <w:rPr>
                <w:rFonts w:hint="eastAsia"/>
              </w:rPr>
              <w:t>电路与系统、系统工程、控制理论与控制工程等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center"/>
          </w:tcPr>
          <w:p>
            <w:pPr>
              <w:jc w:val="center"/>
            </w:pPr>
            <w:r>
              <w:rPr>
                <w:rFonts w:hint="eastAsia"/>
              </w:rPr>
              <w:t>微电子</w:t>
            </w:r>
          </w:p>
        </w:tc>
        <w:tc>
          <w:tcPr>
            <w:tcW w:w="4261" w:type="dxa"/>
            <w:vAlign w:val="center"/>
          </w:tcPr>
          <w:p>
            <w:pPr>
              <w:jc w:val="center"/>
            </w:pPr>
            <w:r>
              <w:rPr>
                <w:rFonts w:hint="eastAsia"/>
              </w:rPr>
              <w:t>微电子学与固体电子学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center"/>
          </w:tcPr>
          <w:p>
            <w:pPr>
              <w:jc w:val="center"/>
            </w:pPr>
            <w:r>
              <w:rPr>
                <w:rFonts w:hint="eastAsia"/>
              </w:rPr>
              <w:t>电磁场与微波</w:t>
            </w:r>
          </w:p>
        </w:tc>
        <w:tc>
          <w:tcPr>
            <w:tcW w:w="4261" w:type="dxa"/>
            <w:vAlign w:val="center"/>
          </w:tcPr>
          <w:p>
            <w:pPr>
              <w:jc w:val="center"/>
            </w:pPr>
            <w:r>
              <w:rPr>
                <w:rFonts w:hint="eastAsia"/>
              </w:rPr>
              <w:t>电磁场与微波技术、电波传播与天线、无线电物理等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center"/>
          </w:tcPr>
          <w:p>
            <w:pPr>
              <w:jc w:val="center"/>
            </w:pPr>
            <w:r>
              <w:rPr>
                <w:rFonts w:hint="eastAsia"/>
              </w:rPr>
              <w:t>计算机大类</w:t>
            </w:r>
          </w:p>
        </w:tc>
        <w:tc>
          <w:tcPr>
            <w:tcW w:w="4261" w:type="dxa"/>
            <w:vAlign w:val="center"/>
          </w:tcPr>
          <w:p>
            <w:pPr>
              <w:jc w:val="center"/>
            </w:pPr>
            <w:r>
              <w:rPr>
                <w:rFonts w:hint="eastAsia"/>
              </w:rPr>
              <w:t>计算机科学与技术、应用数学、运筹学、信息安全、信息融合、软件工程、网络工程、大数据、云计算、系统工程、模式识别与智能系统、人工智能及应用、遥感与测绘、GIS、自动化等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center"/>
          </w:tcPr>
          <w:p>
            <w:pPr>
              <w:jc w:val="center"/>
            </w:pPr>
            <w:r>
              <w:rPr>
                <w:rFonts w:hint="eastAsia"/>
              </w:rPr>
              <w:t>软件测试工程师</w:t>
            </w:r>
          </w:p>
        </w:tc>
        <w:tc>
          <w:tcPr>
            <w:tcW w:w="4261" w:type="dxa"/>
            <w:vAlign w:val="center"/>
          </w:tcPr>
          <w:p>
            <w:pPr>
              <w:jc w:val="center"/>
            </w:pPr>
            <w:r>
              <w:rPr>
                <w:rFonts w:hint="eastAsia"/>
              </w:rPr>
              <w:t>计算机科学与技术、软件工程、自动化等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center"/>
          </w:tcPr>
          <w:p>
            <w:pPr>
              <w:jc w:val="center"/>
            </w:pPr>
            <w:r>
              <w:rPr>
                <w:rFonts w:hint="eastAsia"/>
              </w:rPr>
              <w:t>机械电子工程（含工艺）</w:t>
            </w:r>
          </w:p>
        </w:tc>
        <w:tc>
          <w:tcPr>
            <w:tcW w:w="4261" w:type="dxa"/>
            <w:vAlign w:val="center"/>
          </w:tcPr>
          <w:p>
            <w:pPr>
              <w:jc w:val="center"/>
            </w:pPr>
            <w:r>
              <w:rPr>
                <w:rFonts w:hint="eastAsia"/>
              </w:rPr>
              <w:t>机械电子工程、机械工艺设计等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center"/>
          </w:tcPr>
          <w:p>
            <w:pPr>
              <w:jc w:val="center"/>
            </w:pPr>
            <w:r>
              <w:rPr>
                <w:rFonts w:hint="eastAsia"/>
              </w:rPr>
              <w:t>电子对抗</w:t>
            </w:r>
          </w:p>
        </w:tc>
        <w:tc>
          <w:tcPr>
            <w:tcW w:w="4261" w:type="dxa"/>
            <w:vAlign w:val="center"/>
          </w:tcPr>
          <w:p>
            <w:pPr>
              <w:jc w:val="center"/>
            </w:pPr>
            <w:r>
              <w:rPr>
                <w:rFonts w:hint="eastAsia"/>
              </w:rPr>
              <w:t>电子对抗、信息对抗等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center"/>
          </w:tcPr>
          <w:p>
            <w:pPr>
              <w:jc w:val="center"/>
            </w:pPr>
            <w:r>
              <w:rPr>
                <w:rFonts w:hint="eastAsia"/>
              </w:rPr>
              <w:t>管理类</w:t>
            </w:r>
          </w:p>
        </w:tc>
        <w:tc>
          <w:tcPr>
            <w:tcW w:w="4261" w:type="dxa"/>
            <w:vAlign w:val="center"/>
          </w:tcPr>
          <w:p>
            <w:pPr>
              <w:jc w:val="center"/>
            </w:pPr>
            <w:r>
              <w:rPr>
                <w:rFonts w:hint="eastAsia"/>
              </w:rPr>
              <w:t>企业管理、财务管理、市场管理、国际贸易、物流/物资管理等</w:t>
            </w:r>
          </w:p>
        </w:tc>
      </w:tr>
    </w:tbl>
    <w:p>
      <w:pPr>
        <w:pStyle w:val="9"/>
        <w:numPr>
          <w:ilvl w:val="0"/>
          <w:numId w:val="1"/>
        </w:numPr>
        <w:ind w:firstLineChars="0"/>
        <w:jc w:val="left"/>
        <w:rPr>
          <w:sz w:val="28"/>
        </w:rPr>
      </w:pPr>
      <w:r>
        <w:rPr>
          <w:rFonts w:hint="eastAsia"/>
          <w:sz w:val="28"/>
        </w:rPr>
        <w:t>招聘流程</w:t>
      </w:r>
    </w:p>
    <w:p>
      <w:pPr>
        <w:ind w:firstLine="422" w:firstLineChars="200"/>
        <w:rPr>
          <w:b/>
        </w:rPr>
      </w:pPr>
      <w:r>
        <w:rPr>
          <w:rFonts w:hint="eastAsia"/>
          <w:b/>
        </w:rPr>
        <w:t>投递简历</w:t>
      </w:r>
      <w:r>
        <w:rPr>
          <w:rFonts w:hint="eastAsia"/>
          <w:b/>
          <w:sz w:val="28"/>
        </w:rPr>
        <w:t>→</w:t>
      </w:r>
      <w:r>
        <w:rPr>
          <w:rFonts w:hint="eastAsia"/>
          <w:b/>
        </w:rPr>
        <w:t>简历筛选</w:t>
      </w:r>
      <w:r>
        <w:rPr>
          <w:rFonts w:hint="eastAsia"/>
          <w:b/>
          <w:sz w:val="28"/>
        </w:rPr>
        <w:t>→</w:t>
      </w:r>
      <w:r>
        <w:rPr>
          <w:rFonts w:hint="eastAsia"/>
          <w:b/>
        </w:rPr>
        <w:t>专业面试</w:t>
      </w:r>
      <w:r>
        <w:rPr>
          <w:rFonts w:hint="eastAsia"/>
          <w:b/>
          <w:sz w:val="28"/>
        </w:rPr>
        <w:t>→</w:t>
      </w:r>
      <w:r>
        <w:rPr>
          <w:rFonts w:hint="eastAsia"/>
          <w:b/>
        </w:rPr>
        <w:t>综合面试</w:t>
      </w:r>
      <w:r>
        <w:rPr>
          <w:rFonts w:hint="eastAsia"/>
          <w:b/>
          <w:sz w:val="28"/>
        </w:rPr>
        <w:t>→</w:t>
      </w:r>
      <w:r>
        <w:rPr>
          <w:rFonts w:hint="eastAsia"/>
          <w:b/>
        </w:rPr>
        <w:t>发放offer、签订两方或三方</w:t>
      </w:r>
    </w:p>
    <w:p>
      <w:pPr>
        <w:ind w:firstLine="422" w:firstLineChars="200"/>
      </w:pPr>
      <w:r>
        <w:rPr>
          <w:rFonts w:hint="eastAsia"/>
          <w:b/>
        </w:rPr>
        <w:t>投递简历：</w:t>
      </w:r>
      <w:r>
        <w:rPr>
          <w:rFonts w:hint="eastAsia"/>
        </w:rPr>
        <w:t>在我所招聘官网</w:t>
      </w:r>
      <w:r>
        <w:rPr>
          <w:b/>
        </w:rPr>
        <w:fldChar w:fldCharType="begin"/>
      </w:r>
      <w:r>
        <w:rPr>
          <w:b/>
        </w:rPr>
        <w:instrText xml:space="preserve"> HYPERLINK "</w:instrText>
      </w:r>
      <w:r>
        <w:rPr>
          <w:rFonts w:hint="eastAsia"/>
          <w:b/>
        </w:rPr>
        <w:instrText xml:space="preserve">http://hr.swiet.com.cn</w:instrText>
      </w:r>
      <w:r>
        <w:rPr>
          <w:b/>
        </w:rPr>
        <w:instrText xml:space="preserve">" </w:instrText>
      </w:r>
      <w:r>
        <w:rPr>
          <w:b/>
        </w:rPr>
        <w:fldChar w:fldCharType="separate"/>
      </w:r>
      <w:r>
        <w:rPr>
          <w:rStyle w:val="6"/>
          <w:rFonts w:hint="eastAsia"/>
          <w:b/>
        </w:rPr>
        <w:t>http://hr.swiet.com.cn</w:t>
      </w:r>
      <w:r>
        <w:rPr>
          <w:b/>
        </w:rPr>
        <w:fldChar w:fldCharType="end"/>
      </w:r>
      <w:r>
        <w:rPr>
          <w:rFonts w:hint="eastAsia"/>
        </w:rPr>
        <w:t>注册账户后，先完善个人资料，确保简历各项信息完整，然后在校园招聘版块，选择合适的岗位，点击立即申请，即完成投递。在简历还未被筛选前，若想更换投递岗位，只需要选择新的岗位，点击立即申请即可，将自动覆盖上一个投递的岗位。</w:t>
      </w:r>
    </w:p>
    <w:p>
      <w:pPr>
        <w:ind w:firstLine="422" w:firstLineChars="200"/>
      </w:pPr>
      <w:r>
        <w:rPr>
          <w:rFonts w:hint="eastAsia"/>
          <w:b/>
        </w:rPr>
        <w:t>简历筛选：</w:t>
      </w:r>
      <w:r>
        <w:rPr>
          <w:rFonts w:hint="eastAsia"/>
        </w:rPr>
        <w:t>专家主要根据专业能力和技能，项目经历对简历进行筛选，不会拘泥于专业名称。一般会在一个城市的最后一场宣讲结束后开始对该省的所有简历进行筛选。</w:t>
      </w:r>
    </w:p>
    <w:p>
      <w:pPr>
        <w:ind w:firstLine="422" w:firstLineChars="200"/>
      </w:pPr>
      <w:r>
        <w:rPr>
          <w:rFonts w:hint="eastAsia"/>
          <w:b/>
        </w:rPr>
        <w:t>专业面试：</w:t>
      </w:r>
      <w:r>
        <w:rPr>
          <w:rFonts w:hint="eastAsia"/>
        </w:rPr>
        <w:t>在一个城市的最后一场宣讲结束后，我们会通过短信和微信公众号等渠道及时通知次日的面试安排。专业面试环节主要考察求职者的专业能力与岗位要求是否匹配。</w:t>
      </w:r>
    </w:p>
    <w:p>
      <w:pPr>
        <w:ind w:firstLine="422" w:firstLineChars="200"/>
      </w:pPr>
      <w:r>
        <w:rPr>
          <w:rFonts w:hint="eastAsia"/>
          <w:b/>
        </w:rPr>
        <w:t>综合面试：</w:t>
      </w:r>
      <w:r>
        <w:rPr>
          <w:rFonts w:hint="eastAsia"/>
        </w:rPr>
        <w:t>专业面试通过人员会紧接着参加综合面试，和HR聊天是一个非常轻松的过程，展现真实的自己更有助于找到适合自己的工作。</w:t>
      </w:r>
    </w:p>
    <w:p>
      <w:pPr>
        <w:ind w:firstLine="422" w:firstLineChars="200"/>
      </w:pPr>
      <w:r>
        <w:rPr>
          <w:rFonts w:hint="eastAsia"/>
          <w:b/>
        </w:rPr>
        <w:t>发放offer、签订两方或三方</w:t>
      </w:r>
      <w:r>
        <w:rPr>
          <w:rFonts w:hint="eastAsia"/>
        </w:rPr>
        <w:t>：面试结束后，当天晚上会通过短信和微信公众号等渠道</w:t>
      </w:r>
      <w:bookmarkStart w:id="0" w:name="_GoBack"/>
      <w:bookmarkEnd w:id="0"/>
      <w:r>
        <w:rPr>
          <w:rFonts w:hint="eastAsia"/>
        </w:rPr>
        <w:t>通知面试通过人员，次日即可按照通知上的信息来领取offer及签订三方/两方。</w:t>
      </w:r>
    </w:p>
    <w:p>
      <w:pPr>
        <w:pStyle w:val="9"/>
        <w:numPr>
          <w:ilvl w:val="0"/>
          <w:numId w:val="1"/>
        </w:numPr>
        <w:ind w:firstLineChars="0"/>
        <w:jc w:val="left"/>
        <w:rPr>
          <w:sz w:val="28"/>
        </w:rPr>
      </w:pPr>
      <w:r>
        <w:rPr>
          <w:rFonts w:hint="eastAsia"/>
          <w:sz w:val="28"/>
        </w:rPr>
        <w:t>招聘行程</w:t>
      </w:r>
    </w:p>
    <w:p>
      <w:pPr>
        <w:pStyle w:val="11"/>
        <w:ind w:firstLineChars="0"/>
        <w:jc w:val="left"/>
        <w:rPr>
          <w:rFonts w:ascii="宋体" w:hAnsi="宋体"/>
          <w:szCs w:val="21"/>
        </w:rPr>
      </w:pPr>
      <w:r>
        <w:rPr>
          <w:rFonts w:hint="eastAsia" w:ascii="宋体" w:hAnsi="宋体"/>
          <w:szCs w:val="21"/>
        </w:rPr>
        <w:t>院校：</w:t>
      </w:r>
      <w:r>
        <w:rPr>
          <w:rFonts w:hint="eastAsia" w:ascii="宋体" w:hAnsi="宋体"/>
          <w:szCs w:val="21"/>
          <w:lang w:val="en-US" w:eastAsia="zh-CN"/>
        </w:rPr>
        <w:t>西南交通大学（犀浦校区）</w:t>
      </w:r>
    </w:p>
    <w:p>
      <w:pPr>
        <w:pStyle w:val="11"/>
        <w:ind w:firstLineChars="0"/>
        <w:jc w:val="left"/>
        <w:rPr>
          <w:rFonts w:ascii="宋体" w:hAnsi="宋体"/>
          <w:szCs w:val="21"/>
        </w:rPr>
      </w:pPr>
      <w:r>
        <w:rPr>
          <w:rFonts w:hint="eastAsia" w:ascii="宋体" w:hAnsi="宋体"/>
          <w:szCs w:val="21"/>
        </w:rPr>
        <w:t>宣讲会时间：9月</w:t>
      </w:r>
      <w:r>
        <w:rPr>
          <w:rFonts w:hint="eastAsia" w:ascii="宋体" w:hAnsi="宋体"/>
          <w:szCs w:val="21"/>
          <w:lang w:val="en-US" w:eastAsia="zh-CN"/>
        </w:rPr>
        <w:t>18</w:t>
      </w:r>
      <w:r>
        <w:rPr>
          <w:rFonts w:hint="eastAsia" w:ascii="宋体" w:hAnsi="宋体"/>
          <w:szCs w:val="21"/>
        </w:rPr>
        <w:t xml:space="preserve">日 </w:t>
      </w:r>
      <w:r>
        <w:rPr>
          <w:rFonts w:hint="eastAsia" w:ascii="宋体" w:hAnsi="宋体"/>
          <w:szCs w:val="21"/>
          <w:lang w:val="en-US" w:eastAsia="zh-CN"/>
        </w:rPr>
        <w:t>10:00</w:t>
      </w:r>
      <w:r>
        <w:rPr>
          <w:rFonts w:hint="eastAsia" w:ascii="宋体" w:hAnsi="宋体"/>
          <w:szCs w:val="21"/>
        </w:rPr>
        <w:t>开始</w:t>
      </w:r>
    </w:p>
    <w:p>
      <w:pPr>
        <w:pStyle w:val="11"/>
        <w:ind w:firstLineChars="0"/>
        <w:jc w:val="left"/>
        <w:rPr>
          <w:rFonts w:ascii="宋体" w:hAnsi="宋体"/>
          <w:szCs w:val="21"/>
        </w:rPr>
      </w:pPr>
      <w:r>
        <w:rPr>
          <w:rFonts w:hint="eastAsia" w:ascii="宋体" w:hAnsi="宋体"/>
          <w:szCs w:val="21"/>
        </w:rPr>
        <w:t>宣讲会地点：</w:t>
      </w:r>
      <w:r>
        <w:rPr>
          <w:rFonts w:hint="eastAsia" w:ascii="宋体" w:hAnsi="宋体"/>
          <w:szCs w:val="21"/>
          <w:lang w:val="en-US" w:eastAsia="zh-CN"/>
        </w:rPr>
        <w:t>西南交通大学犀浦校区四食堂3楼318</w:t>
      </w:r>
    </w:p>
    <w:p>
      <w:pPr>
        <w:pStyle w:val="11"/>
        <w:ind w:firstLineChars="0"/>
        <w:jc w:val="left"/>
        <w:rPr>
          <w:sz w:val="28"/>
        </w:rPr>
      </w:pPr>
      <w:r>
        <w:rPr>
          <w:rFonts w:hint="eastAsia" w:ascii="宋体" w:hAnsi="宋体"/>
          <w:b/>
          <w:szCs w:val="21"/>
        </w:rPr>
        <w:t>注※</w:t>
      </w:r>
      <w:r>
        <w:rPr>
          <w:rFonts w:hint="eastAsia" w:ascii="宋体" w:hAnsi="宋体"/>
          <w:szCs w:val="21"/>
        </w:rPr>
        <w:t>：其他宣讲城市及场次安排请见微信公众号：“十所微招聘”及招聘官网，实时更新</w:t>
      </w:r>
    </w:p>
    <w:p>
      <w:pPr>
        <w:pStyle w:val="9"/>
        <w:numPr>
          <w:ilvl w:val="0"/>
          <w:numId w:val="1"/>
        </w:numPr>
        <w:tabs>
          <w:tab w:val="left" w:pos="636"/>
        </w:tabs>
        <w:ind w:firstLineChars="0"/>
        <w:jc w:val="left"/>
        <w:rPr>
          <w:sz w:val="28"/>
        </w:rPr>
      </w:pPr>
      <w:r>
        <w:rPr>
          <w:rFonts w:hint="eastAsia"/>
          <w:sz w:val="28"/>
        </w:rPr>
        <w:t>联系我们</w:t>
      </w:r>
    </w:p>
    <w:p>
      <w:pPr>
        <w:ind w:firstLine="420" w:firstLineChars="200"/>
        <w:jc w:val="left"/>
        <w:rPr>
          <w:szCs w:val="21"/>
        </w:rPr>
      </w:pPr>
      <w:r>
        <w:rPr>
          <w:rFonts w:hint="eastAsia"/>
          <w:szCs w:val="21"/>
        </w:rPr>
        <w:t>通信地址：四川省成都市金牛区营康西路85号</w:t>
      </w:r>
    </w:p>
    <w:p>
      <w:pPr>
        <w:ind w:firstLine="420" w:firstLineChars="200"/>
        <w:jc w:val="left"/>
        <w:rPr>
          <w:szCs w:val="21"/>
        </w:rPr>
      </w:pPr>
      <w:r>
        <w:rPr>
          <w:rFonts w:hint="eastAsia"/>
          <w:szCs w:val="21"/>
        </w:rPr>
        <w:t>邮政编码：610036</w:t>
      </w:r>
    </w:p>
    <w:p>
      <w:pPr>
        <w:ind w:firstLine="420" w:firstLineChars="200"/>
        <w:jc w:val="left"/>
        <w:rPr>
          <w:szCs w:val="21"/>
        </w:rPr>
      </w:pPr>
      <w:r>
        <w:rPr>
          <w:rFonts w:hint="eastAsia"/>
          <w:szCs w:val="21"/>
        </w:rPr>
        <w:t>电子邮箱：</w:t>
      </w:r>
      <w:r>
        <w:fldChar w:fldCharType="begin"/>
      </w:r>
      <w:r>
        <w:instrText xml:space="preserve">HYPERLINK "mailto:cetc10hr@163.com" </w:instrText>
      </w:r>
      <w:r>
        <w:fldChar w:fldCharType="separate"/>
      </w:r>
      <w:r>
        <w:rPr>
          <w:rStyle w:val="6"/>
          <w:rFonts w:hint="eastAsia"/>
          <w:szCs w:val="21"/>
        </w:rPr>
        <w:t>cetc10hr@163.com</w:t>
      </w:r>
      <w:r>
        <w:fldChar w:fldCharType="end"/>
      </w:r>
      <w:r>
        <w:rPr>
          <w:rStyle w:val="6"/>
          <w:rFonts w:hint="eastAsia"/>
          <w:szCs w:val="21"/>
          <w:u w:val="none"/>
        </w:rPr>
        <w:t xml:space="preserve">  </w:t>
      </w:r>
      <w:r>
        <w:rPr>
          <w:rStyle w:val="6"/>
          <w:rFonts w:hint="eastAsia"/>
          <w:color w:val="auto"/>
          <w:szCs w:val="21"/>
          <w:u w:val="none"/>
        </w:rPr>
        <w:t>招聘官网：</w:t>
      </w:r>
      <w:r>
        <w:fldChar w:fldCharType="begin"/>
      </w:r>
      <w:r>
        <w:instrText xml:space="preserve">HYPERLINK "http://hr.swiet.com.cn/" </w:instrText>
      </w:r>
      <w:r>
        <w:fldChar w:fldCharType="separate"/>
      </w:r>
      <w:r>
        <w:rPr>
          <w:rStyle w:val="6"/>
          <w:rFonts w:hint="eastAsia"/>
          <w:b/>
        </w:rPr>
        <w:t>http://hr.swiet.com.cn</w:t>
      </w:r>
      <w:r>
        <w:fldChar w:fldCharType="end"/>
      </w:r>
    </w:p>
    <w:p>
      <w:pPr>
        <w:ind w:firstLine="420" w:firstLineChars="200"/>
        <w:jc w:val="left"/>
        <w:rPr>
          <w:rFonts w:hint="eastAsia"/>
          <w:szCs w:val="21"/>
        </w:rPr>
      </w:pPr>
      <w:r>
        <w:rPr>
          <w:rFonts w:hint="eastAsia"/>
          <w:szCs w:val="21"/>
        </w:rPr>
        <w:t>微信公众号：“十所微招聘”，提问互动将在微信平台上进行。</w:t>
      </w:r>
    </w:p>
    <w:p>
      <w:pPr>
        <w:ind w:firstLine="420" w:firstLineChars="200"/>
        <w:jc w:val="left"/>
        <w:rPr>
          <w:szCs w:val="21"/>
        </w:rPr>
      </w:pPr>
      <w:r>
        <w:rPr>
          <w:rFonts w:ascii="Calibri" w:hAnsi="Calibri" w:eastAsia="宋体" w:cs="Times New Roman"/>
          <w:kern w:val="2"/>
          <w:sz w:val="21"/>
          <w:szCs w:val="21"/>
          <w:lang w:val="en-US" w:eastAsia="zh-CN" w:bidi="ar-SA"/>
        </w:rPr>
        <w:pict>
          <v:shape id="图片 4" o:spid="_x0000_s1027" type="#_x0000_t75" style="position:absolute;left:0;margin-left:123pt;margin-top:12.85pt;height:163.5pt;width:163.5pt;rotation:0f;z-index:251658240;" o:ole="f" fillcolor="#FFFFFF" filled="f" o:preferrelative="t" stroked="f" coordorigin="0,0" coordsize="21600,21600">
            <v:fill on="f" color2="#FFFFFF" focus="0%"/>
            <v:imagedata gain="65536f" blacklevel="0f" gamma="0" o:title="" r:id="rId6"/>
            <o:lock v:ext="edit" position="f" selection="f" grouping="f" rotation="f" cropping="f" text="f" aspectratio="t"/>
          </v:shape>
        </w:pict>
      </w:r>
    </w:p>
    <w:sectPr>
      <w:head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jc w:val="left"/>
    </w:pPr>
    <w:r>
      <w:rPr>
        <w:rFonts w:ascii="Calibri" w:hAnsi="Calibri" w:eastAsia="宋体" w:cs="Times New Roman"/>
        <w:kern w:val="2"/>
        <w:sz w:val="18"/>
        <w:szCs w:val="18"/>
        <w:lang w:val="en-US" w:eastAsia="zh-CN" w:bidi="ar-SA"/>
      </w:rPr>
      <w:pict>
        <v:shape id="图片 3" o:spid="_x0000_s1025" type="#_x0000_t75" style="height:30.75pt;width:414.75pt;rotation:0f;" o:ole="f" fillcolor="#FFFFFF" filled="f" o:preferrelative="t" stroked="f" coordorigin="0,0" coordsize="21600,21600">
          <v:fill on="f" color2="#FFFFFF" focus="0%"/>
          <v:imagedata gain="65536f" blacklevel="0f" gamma="0" o:title="" r:id="rId1"/>
          <o:lock v:ext="edit" position="f" selection="f" grouping="f" rotation="f" cropping="f" text="f" aspectratio="t"/>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43761979">
    <w:nsid w:val="560E0F3B"/>
    <w:multiLevelType w:val="multilevel"/>
    <w:tmpl w:val="560E0F3B"/>
    <w:lvl w:ilvl="0" w:tentative="1">
      <w:start w:val="1"/>
      <w:numFmt w:val="japaneseCounting"/>
      <w:lvlText w:val="%1、"/>
      <w:lvlJc w:val="left"/>
      <w:pPr>
        <w:ind w:left="1360" w:hanging="720"/>
      </w:pPr>
      <w:rPr>
        <w:rFonts w:hint="default"/>
      </w:rPr>
    </w:lvl>
    <w:lvl w:ilvl="1" w:tentative="1">
      <w:start w:val="1"/>
      <w:numFmt w:val="lowerLetter"/>
      <w:lvlText w:val="%2)"/>
      <w:lvlJc w:val="left"/>
      <w:pPr>
        <w:ind w:left="1480" w:hanging="420"/>
      </w:pPr>
    </w:lvl>
    <w:lvl w:ilvl="2" w:tentative="1">
      <w:start w:val="1"/>
      <w:numFmt w:val="lowerRoman"/>
      <w:lvlText w:val="%3."/>
      <w:lvlJc w:val="right"/>
      <w:pPr>
        <w:ind w:left="1900" w:hanging="420"/>
      </w:pPr>
    </w:lvl>
    <w:lvl w:ilvl="3" w:tentative="1">
      <w:start w:val="1"/>
      <w:numFmt w:val="decimal"/>
      <w:lvlText w:val="%4."/>
      <w:lvlJc w:val="left"/>
      <w:pPr>
        <w:ind w:left="2320" w:hanging="420"/>
      </w:pPr>
    </w:lvl>
    <w:lvl w:ilvl="4" w:tentative="1">
      <w:start w:val="1"/>
      <w:numFmt w:val="lowerLetter"/>
      <w:lvlText w:val="%5)"/>
      <w:lvlJc w:val="left"/>
      <w:pPr>
        <w:ind w:left="2740" w:hanging="420"/>
      </w:pPr>
    </w:lvl>
    <w:lvl w:ilvl="5" w:tentative="1">
      <w:start w:val="1"/>
      <w:numFmt w:val="lowerRoman"/>
      <w:lvlText w:val="%6."/>
      <w:lvlJc w:val="right"/>
      <w:pPr>
        <w:ind w:left="3160" w:hanging="420"/>
      </w:pPr>
    </w:lvl>
    <w:lvl w:ilvl="6" w:tentative="1">
      <w:start w:val="1"/>
      <w:numFmt w:val="decimal"/>
      <w:lvlText w:val="%7."/>
      <w:lvlJc w:val="left"/>
      <w:pPr>
        <w:ind w:left="3580" w:hanging="420"/>
      </w:pPr>
    </w:lvl>
    <w:lvl w:ilvl="7" w:tentative="1">
      <w:start w:val="1"/>
      <w:numFmt w:val="lowerLetter"/>
      <w:lvlText w:val="%8)"/>
      <w:lvlJc w:val="left"/>
      <w:pPr>
        <w:ind w:left="4000" w:hanging="420"/>
      </w:pPr>
    </w:lvl>
    <w:lvl w:ilvl="8" w:tentative="1">
      <w:start w:val="1"/>
      <w:numFmt w:val="lowerRoman"/>
      <w:lvlText w:val="%9."/>
      <w:lvlJc w:val="right"/>
      <w:pPr>
        <w:ind w:left="4420" w:hanging="420"/>
      </w:pPr>
    </w:lvl>
  </w:abstractNum>
  <w:num w:numId="1">
    <w:abstractNumId w:val="144376197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E35E3F"/>
    <w:rsid w:val="002072E7"/>
    <w:rsid w:val="00240604"/>
    <w:rsid w:val="002E21C1"/>
    <w:rsid w:val="00325315"/>
    <w:rsid w:val="00585B86"/>
    <w:rsid w:val="00605BA0"/>
    <w:rsid w:val="00690D7F"/>
    <w:rsid w:val="007715CB"/>
    <w:rsid w:val="007E0FDD"/>
    <w:rsid w:val="00905D9A"/>
    <w:rsid w:val="009734DC"/>
    <w:rsid w:val="00C14FC1"/>
    <w:rsid w:val="00E35E3F"/>
    <w:rsid w:val="00E96139"/>
    <w:rsid w:val="117106C2"/>
    <w:rsid w:val="1A083453"/>
    <w:rsid w:val="224C3750"/>
    <w:rsid w:val="299A425F"/>
    <w:rsid w:val="597225DD"/>
    <w:rsid w:val="63BE0AB1"/>
    <w:rsid w:val="66664050"/>
    <w:rsid w:val="6ED972BC"/>
    <w:rsid w:val="72B52C56"/>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uiPriority w:val="99"/>
    <w:tblPr>
      <w:tblStyle w:val="7"/>
      <w:tblLayout w:type="fixed"/>
      <w:tblCellMar>
        <w:top w:w="0" w:type="dxa"/>
        <w:left w:w="108" w:type="dxa"/>
        <w:bottom w:w="0" w:type="dxa"/>
        <w:right w:w="108" w:type="dxa"/>
      </w:tblCellMar>
    </w:tblPr>
    <w:tcPr>
      <w:textDirection w:val="lrTb"/>
    </w:tcPr>
  </w:style>
  <w:style w:type="paragraph" w:styleId="2">
    <w:name w:val="Balloon Text"/>
    <w:basedOn w:val="1"/>
    <w:link w:val="13"/>
    <w:unhideWhenUsed/>
    <w:uiPriority w:val="99"/>
    <w:rPr>
      <w:sz w:val="18"/>
      <w:szCs w:val="18"/>
    </w:rPr>
  </w:style>
  <w:style w:type="paragraph" w:styleId="3">
    <w:name w:val="footer"/>
    <w:basedOn w:val="1"/>
    <w:link w:val="15"/>
    <w:unhideWhenUsed/>
    <w:uiPriority w:val="99"/>
    <w:pPr>
      <w:tabs>
        <w:tab w:val="center" w:pos="4153"/>
        <w:tab w:val="right" w:pos="8306"/>
      </w:tabs>
      <w:snapToGrid w:val="0"/>
      <w:jc w:val="left"/>
    </w:pPr>
    <w:rPr>
      <w:sz w:val="18"/>
      <w:szCs w:val="18"/>
    </w:rPr>
  </w:style>
  <w:style w:type="paragraph" w:styleId="4">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uiPriority w:val="99"/>
    <w:rPr>
      <w:color w:val="0000FF"/>
      <w:u w:val="single"/>
    </w:rPr>
  </w:style>
  <w:style w:type="table" w:styleId="8">
    <w:name w:val="Table Grid"/>
    <w:basedOn w:val="7"/>
    <w:uiPriority w:val="59"/>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9">
    <w:name w:val="List Paragraph"/>
    <w:basedOn w:val="1"/>
    <w:qFormat/>
    <w:uiPriority w:val="34"/>
    <w:pPr>
      <w:ind w:firstLine="420" w:firstLineChars="200"/>
    </w:pPr>
  </w:style>
  <w:style w:type="paragraph" w:customStyle="1" w:styleId="10">
    <w:name w:val="正文格式"/>
    <w:basedOn w:val="1"/>
    <w:link w:val="12"/>
    <w:qFormat/>
    <w:uiPriority w:val="0"/>
    <w:pPr>
      <w:snapToGrid w:val="0"/>
      <w:spacing w:line="360" w:lineRule="auto"/>
      <w:ind w:firstLine="200" w:firstLineChars="200"/>
      <w:contextualSpacing/>
    </w:pPr>
    <w:rPr>
      <w:rFonts w:ascii="Times New Roman" w:hAnsi="Times New Roman" w:eastAsia="宋体" w:cs="Times New Roman"/>
      <w:kern w:val="0"/>
      <w:sz w:val="24"/>
      <w:szCs w:val="20"/>
    </w:rPr>
  </w:style>
  <w:style w:type="paragraph" w:customStyle="1" w:styleId="11">
    <w:name w:val="列出段落1"/>
    <w:basedOn w:val="1"/>
    <w:qFormat/>
    <w:uiPriority w:val="34"/>
    <w:pPr>
      <w:ind w:firstLine="420" w:firstLineChars="200"/>
    </w:pPr>
  </w:style>
  <w:style w:type="character" w:customStyle="1" w:styleId="12">
    <w:name w:val="正文格式 Char"/>
    <w:link w:val="10"/>
    <w:uiPriority w:val="0"/>
    <w:rPr>
      <w:rFonts w:ascii="Times New Roman" w:hAnsi="Times New Roman" w:eastAsia="宋体" w:cs="Times New Roman"/>
      <w:kern w:val="0"/>
      <w:sz w:val="24"/>
      <w:szCs w:val="20"/>
    </w:rPr>
  </w:style>
  <w:style w:type="character" w:customStyle="1" w:styleId="13">
    <w:name w:val="批注框文本 Char"/>
    <w:basedOn w:val="5"/>
    <w:link w:val="2"/>
    <w:semiHidden/>
    <w:uiPriority w:val="99"/>
    <w:rPr>
      <w:sz w:val="18"/>
      <w:szCs w:val="18"/>
    </w:rPr>
  </w:style>
  <w:style w:type="character" w:customStyle="1" w:styleId="14">
    <w:name w:val="页眉 Char"/>
    <w:basedOn w:val="5"/>
    <w:link w:val="4"/>
    <w:uiPriority w:val="99"/>
    <w:rPr>
      <w:sz w:val="18"/>
      <w:szCs w:val="18"/>
    </w:rPr>
  </w:style>
  <w:style w:type="character" w:customStyle="1" w:styleId="15">
    <w:name w:val="页脚 Char"/>
    <w:basedOn w:val="5"/>
    <w:link w:val="3"/>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305</Words>
  <Characters>1744</Characters>
  <Lines>14</Lines>
  <Paragraphs>4</Paragraphs>
  <ScaleCrop>false</ScaleCrop>
  <LinksUpToDate>false</LinksUpToDate>
  <CharactersWithSpaces>0</CharactersWithSpaces>
  <Application>WPS Office 个人版_9.1.0.4867_{F1E327BC-269C-435d-A152-05C5408002CA}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2016-08-26T12:36:00Z</dcterms:created>
  <dc:creator>SP</dc:creator>
  <cp:lastModifiedBy>acer123</cp:lastModifiedBy>
  <dcterms:modified xsi:type="dcterms:W3CDTF">2016-09-06T07:39:48Z</dcterms:modified>
  <dc:title>中电十所2017年校园招聘简章</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2052-9.1.0.4867</vt:lpwstr>
  </property>
</Properties>
</file>