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46" w:rsidRDefault="00FD768F">
      <w:pPr>
        <w:pStyle w:val="1"/>
        <w:spacing w:before="0" w:after="0"/>
        <w:ind w:firstLineChars="0" w:firstLine="0"/>
        <w:jc w:val="center"/>
      </w:pPr>
      <w:bookmarkStart w:id="0" w:name="_Toc322717833"/>
      <w:r>
        <w:rPr>
          <w:rFonts w:hint="eastAsia"/>
        </w:rPr>
        <w:t>2</w:t>
      </w:r>
      <w:r>
        <w:t>01</w:t>
      </w:r>
      <w:r>
        <w:rPr>
          <w:rFonts w:hint="eastAsia"/>
        </w:rPr>
        <w:t>8</w:t>
      </w:r>
      <w:r>
        <w:t>年</w:t>
      </w:r>
      <w:r w:rsidR="000379D6">
        <w:rPr>
          <w:rFonts w:hint="eastAsia"/>
        </w:rPr>
        <w:t>交通运输与物流学院本科生转专业</w:t>
      </w:r>
      <w:bookmarkEnd w:id="0"/>
      <w:r w:rsidR="000379D6">
        <w:rPr>
          <w:rFonts w:hint="eastAsia"/>
        </w:rPr>
        <w:t>实施细则</w:t>
      </w:r>
    </w:p>
    <w:p w:rsidR="00190546" w:rsidRDefault="000379D6">
      <w:pPr>
        <w:pStyle w:val="a"/>
        <w:numPr>
          <w:ilvl w:val="0"/>
          <w:numId w:val="2"/>
        </w:numPr>
        <w:ind w:left="151" w:hangingChars="50" w:hanging="151"/>
      </w:pPr>
      <w:r>
        <w:rPr>
          <w:rFonts w:hint="eastAsia"/>
        </w:rPr>
        <w:t>转专业工作领导小组</w:t>
      </w:r>
    </w:p>
    <w:p w:rsidR="00190546" w:rsidRDefault="000379D6">
      <w:pPr>
        <w:ind w:firstLine="480"/>
        <w:rPr>
          <w:szCs w:val="24"/>
        </w:rPr>
      </w:pPr>
      <w:r>
        <w:rPr>
          <w:rFonts w:hint="eastAsia"/>
          <w:szCs w:val="24"/>
        </w:rPr>
        <w:t>组长：刘晓波、</w:t>
      </w:r>
      <w:r>
        <w:rPr>
          <w:rFonts w:ascii="宋体" w:hAnsi="宋体" w:hint="eastAsia"/>
          <w:kern w:val="0"/>
          <w:szCs w:val="24"/>
        </w:rPr>
        <w:t>郝建平</w:t>
      </w:r>
    </w:p>
    <w:p w:rsidR="00190546" w:rsidRPr="00EC1B9D" w:rsidRDefault="000379D6">
      <w:pPr>
        <w:ind w:firstLine="480"/>
        <w:rPr>
          <w:rFonts w:ascii="宋体" w:hAnsi="宋体"/>
          <w:kern w:val="0"/>
          <w:szCs w:val="24"/>
        </w:rPr>
      </w:pPr>
      <w:r>
        <w:rPr>
          <w:rFonts w:hint="eastAsia"/>
          <w:szCs w:val="24"/>
        </w:rPr>
        <w:t>成员：</w:t>
      </w:r>
      <w:r w:rsidRPr="00EC1B9D">
        <w:rPr>
          <w:rFonts w:hint="eastAsia"/>
          <w:szCs w:val="24"/>
        </w:rPr>
        <w:t>马</w:t>
      </w:r>
      <w:r w:rsidRPr="00EC1B9D">
        <w:rPr>
          <w:rFonts w:hint="eastAsia"/>
          <w:szCs w:val="24"/>
        </w:rPr>
        <w:t xml:space="preserve">  </w:t>
      </w:r>
      <w:r w:rsidRPr="00EC1B9D">
        <w:rPr>
          <w:rFonts w:hint="eastAsia"/>
          <w:szCs w:val="24"/>
        </w:rPr>
        <w:t>驷、吴</w:t>
      </w:r>
      <w:r w:rsidRPr="00EC1B9D">
        <w:rPr>
          <w:rFonts w:hint="eastAsia"/>
          <w:szCs w:val="24"/>
        </w:rPr>
        <w:t xml:space="preserve">  </w:t>
      </w:r>
      <w:r w:rsidRPr="00EC1B9D">
        <w:rPr>
          <w:rFonts w:hint="eastAsia"/>
          <w:szCs w:val="24"/>
        </w:rPr>
        <w:t>刚、</w:t>
      </w:r>
      <w:r w:rsidRPr="00EC1B9D">
        <w:rPr>
          <w:rFonts w:ascii="宋体" w:hAnsi="宋体" w:hint="eastAsia"/>
          <w:kern w:val="0"/>
          <w:szCs w:val="24"/>
        </w:rPr>
        <w:t>李国芳、王正彬、</w:t>
      </w:r>
      <w:r w:rsidR="00B669DC" w:rsidRPr="00EC1B9D">
        <w:rPr>
          <w:rFonts w:ascii="宋体" w:hAnsi="宋体" w:hint="eastAsia"/>
          <w:kern w:val="0"/>
          <w:szCs w:val="24"/>
        </w:rPr>
        <w:t>王利华</w:t>
      </w:r>
      <w:r w:rsidRPr="00EC1B9D">
        <w:rPr>
          <w:rFonts w:ascii="宋体" w:hAnsi="宋体" w:hint="eastAsia"/>
          <w:kern w:val="0"/>
          <w:szCs w:val="24"/>
        </w:rPr>
        <w:t>、汤银英、杨  飞</w:t>
      </w:r>
    </w:p>
    <w:p w:rsidR="00190546" w:rsidRPr="00EC1B9D" w:rsidRDefault="00B669DC">
      <w:pPr>
        <w:ind w:firstLineChars="500" w:firstLine="1200"/>
        <w:rPr>
          <w:szCs w:val="24"/>
        </w:rPr>
      </w:pPr>
      <w:r w:rsidRPr="00EC1B9D">
        <w:rPr>
          <w:rFonts w:ascii="宋体" w:hAnsi="宋体" w:hint="eastAsia"/>
          <w:kern w:val="0"/>
          <w:szCs w:val="24"/>
        </w:rPr>
        <w:t>马  剑</w:t>
      </w:r>
      <w:r w:rsidR="000379D6" w:rsidRPr="00EC1B9D">
        <w:rPr>
          <w:rFonts w:ascii="宋体" w:hAnsi="宋体" w:hint="eastAsia"/>
          <w:kern w:val="0"/>
          <w:szCs w:val="24"/>
        </w:rPr>
        <w:t>、王群智、</w:t>
      </w:r>
      <w:r w:rsidRPr="00EC1B9D">
        <w:rPr>
          <w:rFonts w:ascii="宋体" w:hAnsi="宋体" w:hint="eastAsia"/>
          <w:kern w:val="0"/>
          <w:szCs w:val="24"/>
        </w:rPr>
        <w:t>何  娟</w:t>
      </w:r>
      <w:r w:rsidR="000379D6" w:rsidRPr="00EC1B9D">
        <w:rPr>
          <w:rFonts w:ascii="宋体" w:hAnsi="宋体" w:hint="eastAsia"/>
          <w:kern w:val="0"/>
          <w:szCs w:val="24"/>
        </w:rPr>
        <w:t>、</w:t>
      </w:r>
      <w:r w:rsidRPr="00EC1B9D">
        <w:rPr>
          <w:rFonts w:ascii="宋体" w:hAnsi="宋体" w:hint="eastAsia"/>
          <w:kern w:val="0"/>
          <w:szCs w:val="24"/>
        </w:rPr>
        <w:t>王炎冰</w:t>
      </w:r>
    </w:p>
    <w:p w:rsidR="00190546" w:rsidRDefault="000379D6">
      <w:pPr>
        <w:ind w:firstLine="480"/>
        <w:rPr>
          <w:szCs w:val="24"/>
        </w:rPr>
      </w:pPr>
      <w:r>
        <w:rPr>
          <w:rFonts w:hint="eastAsia"/>
          <w:szCs w:val="24"/>
        </w:rPr>
        <w:t>秘书：程美静</w:t>
      </w:r>
    </w:p>
    <w:p w:rsidR="00190546" w:rsidRDefault="000379D6">
      <w:pPr>
        <w:pStyle w:val="a"/>
        <w:numPr>
          <w:ilvl w:val="0"/>
          <w:numId w:val="2"/>
        </w:numPr>
      </w:pPr>
      <w:r>
        <w:rPr>
          <w:rFonts w:hint="eastAsia"/>
        </w:rPr>
        <w:t>转专业实施细则</w:t>
      </w:r>
    </w:p>
    <w:p w:rsidR="00190546" w:rsidRDefault="000379D6">
      <w:pPr>
        <w:ind w:firstLine="482"/>
        <w:rPr>
          <w:b/>
        </w:rPr>
      </w:pPr>
      <w:r>
        <w:rPr>
          <w:rFonts w:hint="eastAsia"/>
          <w:b/>
        </w:rPr>
        <w:t>（一）转专业要求</w:t>
      </w:r>
    </w:p>
    <w:p w:rsidR="00190546" w:rsidRDefault="004D7051">
      <w:pPr>
        <w:ind w:firstLine="480"/>
      </w:pPr>
      <w:r>
        <w:rPr>
          <w:rFonts w:hint="eastAsia"/>
        </w:rPr>
        <w:t>1</w:t>
      </w:r>
      <w:r>
        <w:rPr>
          <w:rFonts w:hint="eastAsia"/>
        </w:rPr>
        <w:t>、</w:t>
      </w:r>
      <w:r w:rsidR="000379D6">
        <w:rPr>
          <w:rFonts w:hint="eastAsia"/>
        </w:rPr>
        <w:t>满足学校《西南交通大学本科生转专业办法》（</w:t>
      </w:r>
      <w:r w:rsidR="000379D6">
        <w:rPr>
          <w:rFonts w:hint="eastAsia"/>
        </w:rPr>
        <w:t>201</w:t>
      </w:r>
      <w:r w:rsidR="004E4C0B">
        <w:rPr>
          <w:rFonts w:hint="eastAsia"/>
        </w:rPr>
        <w:t>7</w:t>
      </w:r>
      <w:r w:rsidR="000379D6">
        <w:rPr>
          <w:rFonts w:hint="eastAsia"/>
        </w:rPr>
        <w:t>年新修订）相关要求</w:t>
      </w:r>
      <w:r>
        <w:rPr>
          <w:rFonts w:hint="eastAsia"/>
        </w:rPr>
        <w:t>；</w:t>
      </w:r>
    </w:p>
    <w:p w:rsidR="004D7051" w:rsidRPr="00EC1B9D" w:rsidRDefault="004D7051">
      <w:pPr>
        <w:ind w:firstLine="480"/>
      </w:pPr>
      <w:r w:rsidRPr="00EC1B9D">
        <w:rPr>
          <w:rFonts w:hint="eastAsia"/>
        </w:rPr>
        <w:t>2</w:t>
      </w:r>
      <w:r w:rsidRPr="00EC1B9D">
        <w:rPr>
          <w:rFonts w:hint="eastAsia"/>
        </w:rPr>
        <w:t>、</w:t>
      </w:r>
      <w:r w:rsidR="00EC1B9D" w:rsidRPr="00EC1B9D">
        <w:rPr>
          <w:rFonts w:ascii="Times New Roman" w:hint="eastAsia"/>
          <w:sz w:val="21"/>
          <w:szCs w:val="21"/>
        </w:rPr>
        <w:t>高等数学</w:t>
      </w:r>
      <w:r w:rsidR="00EC1B9D" w:rsidRPr="00EC1B9D">
        <w:rPr>
          <w:rFonts w:ascii="Times New Roman" w:hint="eastAsia"/>
          <w:sz w:val="21"/>
          <w:szCs w:val="21"/>
        </w:rPr>
        <w:t>BI</w:t>
      </w:r>
      <w:r w:rsidR="00EC1B9D" w:rsidRPr="00EC1B9D">
        <w:rPr>
          <w:rFonts w:ascii="Times New Roman" w:hint="eastAsia"/>
          <w:sz w:val="21"/>
          <w:szCs w:val="21"/>
        </w:rPr>
        <w:t>和高等数学</w:t>
      </w:r>
      <w:r w:rsidR="00EC1B9D" w:rsidRPr="00EC1B9D">
        <w:rPr>
          <w:rFonts w:ascii="Times New Roman" w:hint="eastAsia"/>
          <w:sz w:val="21"/>
          <w:szCs w:val="21"/>
        </w:rPr>
        <w:t>BII</w:t>
      </w:r>
      <w:r w:rsidR="00EC1B9D" w:rsidRPr="00EC1B9D">
        <w:rPr>
          <w:rFonts w:ascii="Times New Roman" w:hint="eastAsia"/>
          <w:sz w:val="21"/>
          <w:szCs w:val="21"/>
        </w:rPr>
        <w:t>的成绩均不低于</w:t>
      </w:r>
      <w:r w:rsidR="00EC1B9D" w:rsidRPr="00EC1B9D">
        <w:rPr>
          <w:rFonts w:ascii="Times New Roman" w:hint="eastAsia"/>
          <w:sz w:val="21"/>
          <w:szCs w:val="21"/>
        </w:rPr>
        <w:t>75</w:t>
      </w:r>
      <w:r w:rsidR="00EC1B9D" w:rsidRPr="00EC1B9D">
        <w:rPr>
          <w:rFonts w:ascii="Times New Roman" w:hint="eastAsia"/>
          <w:sz w:val="21"/>
          <w:szCs w:val="21"/>
        </w:rPr>
        <w:t>分，或准入课程的平均成绩不低于</w:t>
      </w:r>
      <w:r w:rsidR="00EC1B9D" w:rsidRPr="00EC1B9D">
        <w:rPr>
          <w:rFonts w:ascii="Times New Roman" w:hint="eastAsia"/>
          <w:sz w:val="21"/>
          <w:szCs w:val="21"/>
        </w:rPr>
        <w:t>80</w:t>
      </w:r>
      <w:r w:rsidR="00EC1B9D" w:rsidRPr="00EC1B9D">
        <w:rPr>
          <w:rFonts w:ascii="Times New Roman" w:hint="eastAsia"/>
          <w:sz w:val="21"/>
          <w:szCs w:val="21"/>
        </w:rPr>
        <w:t>分。</w:t>
      </w:r>
    </w:p>
    <w:p w:rsidR="00190546" w:rsidRDefault="000379D6">
      <w:pPr>
        <w:ind w:firstLine="482"/>
        <w:rPr>
          <w:b/>
        </w:rPr>
      </w:pPr>
      <w:r>
        <w:rPr>
          <w:rFonts w:hint="eastAsia"/>
          <w:b/>
        </w:rPr>
        <w:t>（二）转专业录取名额</w:t>
      </w:r>
    </w:p>
    <w:p w:rsidR="00190546" w:rsidRDefault="000379D6">
      <w:pPr>
        <w:ind w:firstLine="480"/>
      </w:pPr>
      <w:r>
        <w:rPr>
          <w:rFonts w:hint="eastAsia"/>
        </w:rPr>
        <w:t>为保障各学科协调发展，转入比例原则上不超过本年级本专业招生总人数的</w:t>
      </w:r>
      <w:r>
        <w:rPr>
          <w:rFonts w:hint="eastAsia"/>
        </w:rPr>
        <w:t>10%</w:t>
      </w:r>
      <w:r>
        <w:rPr>
          <w:rFonts w:hint="eastAsia"/>
        </w:rPr>
        <w:t>。</w:t>
      </w:r>
    </w:p>
    <w:p w:rsidR="00190546" w:rsidRDefault="000379D6">
      <w:pPr>
        <w:ind w:firstLine="482"/>
        <w:rPr>
          <w:b/>
        </w:rPr>
      </w:pPr>
      <w:r>
        <w:rPr>
          <w:rFonts w:hint="eastAsia"/>
          <w:b/>
        </w:rPr>
        <w:t>（三）转专业工作流程</w:t>
      </w:r>
    </w:p>
    <w:p w:rsidR="00190546" w:rsidRDefault="000379D6">
      <w:pPr>
        <w:ind w:firstLine="480"/>
      </w:pPr>
      <w:r>
        <w:rPr>
          <w:rFonts w:hint="eastAsia"/>
        </w:rPr>
        <w:t>1</w:t>
      </w:r>
      <w:r>
        <w:rPr>
          <w:rFonts w:hint="eastAsia"/>
        </w:rPr>
        <w:t>、</w:t>
      </w:r>
      <w:r w:rsidR="002B6EA5">
        <w:rPr>
          <w:rFonts w:hint="eastAsia"/>
        </w:rPr>
        <w:t xml:space="preserve"> </w:t>
      </w:r>
      <w:r>
        <w:rPr>
          <w:rFonts w:hint="eastAsia"/>
        </w:rPr>
        <w:t>跨学院转专业由学校统一组织安排在每学年暑期至秋季学期第一周进行；</w:t>
      </w:r>
      <w:r>
        <w:rPr>
          <w:rFonts w:hint="eastAsia"/>
        </w:rPr>
        <w:t xml:space="preserve"> </w:t>
      </w:r>
    </w:p>
    <w:p w:rsidR="00190546" w:rsidRDefault="000379D6">
      <w:pPr>
        <w:ind w:firstLine="480"/>
      </w:pPr>
      <w:r>
        <w:rPr>
          <w:rFonts w:hint="eastAsia"/>
        </w:rPr>
        <w:t>2</w:t>
      </w:r>
      <w:r>
        <w:rPr>
          <w:rFonts w:hint="eastAsia"/>
        </w:rPr>
        <w:t>、每学年春季学期第一周，学院根据各专业学生人数、人才培养要求及教学资源条件等，公布学院转专业工作领导小组名单和转专业实施细则；</w:t>
      </w:r>
    </w:p>
    <w:p w:rsidR="00190546" w:rsidRDefault="000379D6">
      <w:pPr>
        <w:ind w:firstLine="480"/>
      </w:pPr>
      <w:r>
        <w:rPr>
          <w:rFonts w:hint="eastAsia"/>
        </w:rPr>
        <w:t>3</w:t>
      </w:r>
      <w:r>
        <w:rPr>
          <w:rFonts w:hint="eastAsia"/>
        </w:rPr>
        <w:t>、春季学期第十六周，学院将接收转专业计划名额报教务处，按学校审核下达的转专业计划接收名额组织实施；</w:t>
      </w:r>
    </w:p>
    <w:p w:rsidR="00190546" w:rsidRDefault="000379D6">
      <w:pPr>
        <w:ind w:firstLine="480"/>
      </w:pPr>
      <w:r>
        <w:rPr>
          <w:rFonts w:hint="eastAsia"/>
        </w:rPr>
        <w:t>4</w:t>
      </w:r>
      <w:r>
        <w:rPr>
          <w:rFonts w:hint="eastAsia"/>
        </w:rPr>
        <w:t>、学生暑假期间通过教务网提交转专业申请，按要求填报转专业志愿及相关资料；</w:t>
      </w:r>
    </w:p>
    <w:p w:rsidR="00190546" w:rsidRDefault="000379D6">
      <w:pPr>
        <w:ind w:firstLine="480"/>
      </w:pPr>
      <w:r>
        <w:rPr>
          <w:rFonts w:hint="eastAsia"/>
        </w:rPr>
        <w:lastRenderedPageBreak/>
        <w:t>5</w:t>
      </w:r>
      <w:r>
        <w:rPr>
          <w:rFonts w:hint="eastAsia"/>
        </w:rPr>
        <w:t>、</w:t>
      </w:r>
      <w:r w:rsidR="002B6EA5">
        <w:rPr>
          <w:rFonts w:hint="eastAsia"/>
        </w:rPr>
        <w:t xml:space="preserve"> </w:t>
      </w:r>
      <w:r>
        <w:rPr>
          <w:rFonts w:hint="eastAsia"/>
        </w:rPr>
        <w:t>学院在秋季学期开学前一周（第</w:t>
      </w:r>
      <w:r>
        <w:rPr>
          <w:rFonts w:hint="eastAsia"/>
        </w:rPr>
        <w:t>0</w:t>
      </w:r>
      <w:r>
        <w:rPr>
          <w:rFonts w:hint="eastAsia"/>
        </w:rPr>
        <w:t>周）完成学生转专业申请的初步审核；</w:t>
      </w:r>
    </w:p>
    <w:p w:rsidR="00190546" w:rsidRDefault="000379D6">
      <w:pPr>
        <w:ind w:firstLine="480"/>
      </w:pPr>
      <w:r>
        <w:rPr>
          <w:rFonts w:hint="eastAsia"/>
        </w:rPr>
        <w:t>6</w:t>
      </w:r>
      <w:r>
        <w:rPr>
          <w:rFonts w:hint="eastAsia"/>
        </w:rPr>
        <w:t>、秋季学期第一周，学院应根据学科专业特点，对申请转专业学生进行全面考核，将考核结果通过学院网、教务网进行公示，经学院本科生转专业工作领导小组审核确定拟接收转专业学生名单并报教务处；</w:t>
      </w:r>
    </w:p>
    <w:p w:rsidR="00190546" w:rsidRDefault="000379D6">
      <w:pPr>
        <w:ind w:firstLine="480"/>
      </w:pPr>
      <w:r>
        <w:rPr>
          <w:rFonts w:hint="eastAsia"/>
        </w:rPr>
        <w:t>7</w:t>
      </w:r>
      <w:r>
        <w:rPr>
          <w:rFonts w:hint="eastAsia"/>
        </w:rPr>
        <w:t>、学生申请转专业后，如需要撤销转专业申请，应在参加学院转专业考核前提出；</w:t>
      </w:r>
    </w:p>
    <w:p w:rsidR="00190546" w:rsidRDefault="000379D6">
      <w:pPr>
        <w:ind w:firstLine="480"/>
      </w:pPr>
      <w:r>
        <w:rPr>
          <w:rFonts w:hint="eastAsia"/>
        </w:rPr>
        <w:t>8</w:t>
      </w:r>
      <w:r>
        <w:rPr>
          <w:rFonts w:hint="eastAsia"/>
        </w:rPr>
        <w:t>、学院在转专业名单公布之日起，安排导师负责对转入学生的培养方案、课程认定、补修课程、选课等进行指导。</w:t>
      </w:r>
    </w:p>
    <w:p w:rsidR="00190546" w:rsidRDefault="000379D6">
      <w:pPr>
        <w:ind w:firstLine="482"/>
        <w:rPr>
          <w:b/>
        </w:rPr>
      </w:pPr>
      <w:r>
        <w:rPr>
          <w:rFonts w:hint="eastAsia"/>
          <w:b/>
        </w:rPr>
        <w:t>（四）转专业考核办法</w:t>
      </w:r>
    </w:p>
    <w:p w:rsidR="00190546" w:rsidRDefault="000379D6">
      <w:pPr>
        <w:ind w:firstLineChars="0" w:firstLine="480"/>
        <w:rPr>
          <w:rFonts w:ascii="宋体" w:hAnsi="宋体" w:cs="Calibri"/>
          <w:b/>
          <w:bCs/>
          <w:color w:val="000000"/>
          <w:szCs w:val="24"/>
          <w:u w:color="FF00FF"/>
        </w:rPr>
      </w:pPr>
      <w:r>
        <w:rPr>
          <w:rFonts w:ascii="宋体" w:hAnsi="宋体" w:cs="宋体" w:hint="eastAsia"/>
          <w:kern w:val="0"/>
          <w:szCs w:val="24"/>
        </w:rPr>
        <w:t>1、考核办法：</w:t>
      </w:r>
      <w:r>
        <w:rPr>
          <w:rFonts w:ascii="宋体" w:hAnsi="宋体" w:cs="Calibri" w:hint="eastAsia"/>
          <w:color w:val="000000"/>
          <w:kern w:val="0"/>
          <w:szCs w:val="24"/>
        </w:rPr>
        <w:t>采用专业准入课程总成绩排名和专家组面试综合评价。</w:t>
      </w:r>
    </w:p>
    <w:p w:rsidR="00190546" w:rsidRDefault="000379D6">
      <w:pPr>
        <w:ind w:firstLineChars="0" w:firstLine="480"/>
        <w:rPr>
          <w:rFonts w:ascii="宋体" w:hAnsi="宋体" w:cs="Calibri"/>
          <w:b/>
          <w:bCs/>
          <w:color w:val="000000"/>
          <w:szCs w:val="24"/>
          <w:u w:color="FF00FF"/>
        </w:rPr>
      </w:pPr>
      <w:r>
        <w:rPr>
          <w:rFonts w:ascii="宋体" w:hAnsi="宋体" w:cs="宋体" w:hint="eastAsia"/>
          <w:kern w:val="0"/>
          <w:szCs w:val="24"/>
        </w:rPr>
        <w:t>2、</w:t>
      </w:r>
      <w:r>
        <w:rPr>
          <w:rFonts w:ascii="宋体" w:hAnsi="宋体" w:cs="宋体"/>
          <w:kern w:val="0"/>
          <w:szCs w:val="24"/>
        </w:rPr>
        <w:t>考</w:t>
      </w:r>
      <w:r>
        <w:rPr>
          <w:rFonts w:ascii="宋体" w:hAnsi="宋体" w:cs="Calibri"/>
          <w:color w:val="000000"/>
          <w:kern w:val="0"/>
          <w:szCs w:val="24"/>
        </w:rPr>
        <w:t>核内容：学生综合素质、</w:t>
      </w:r>
      <w:r>
        <w:rPr>
          <w:rFonts w:ascii="宋体" w:hAnsi="宋体" w:cs="Calibri" w:hint="eastAsia"/>
          <w:color w:val="000000"/>
          <w:kern w:val="0"/>
          <w:szCs w:val="24"/>
        </w:rPr>
        <w:t>学习</w:t>
      </w:r>
      <w:r>
        <w:rPr>
          <w:rFonts w:ascii="宋体" w:hAnsi="宋体" w:cs="Calibri"/>
          <w:color w:val="000000"/>
          <w:kern w:val="0"/>
          <w:szCs w:val="24"/>
        </w:rPr>
        <w:t>能力以及在大一期间基础理论知识掌握情况</w:t>
      </w:r>
      <w:r>
        <w:rPr>
          <w:rFonts w:ascii="宋体" w:hAnsi="宋体" w:cs="Calibri" w:hint="eastAsia"/>
          <w:color w:val="000000"/>
          <w:kern w:val="0"/>
          <w:szCs w:val="24"/>
        </w:rPr>
        <w:t>或大二期间预修相关课程的知识掌握情况。</w:t>
      </w:r>
    </w:p>
    <w:p w:rsidR="00190546" w:rsidRDefault="000379D6">
      <w:pPr>
        <w:widowControl/>
        <w:spacing w:before="240" w:after="60" w:line="312" w:lineRule="auto"/>
        <w:ind w:firstLineChars="0" w:firstLine="0"/>
        <w:rPr>
          <w:b/>
          <w:szCs w:val="24"/>
        </w:rPr>
      </w:pPr>
      <w:r>
        <w:rPr>
          <w:rFonts w:hint="eastAsia"/>
          <w:b/>
          <w:szCs w:val="24"/>
        </w:rPr>
        <w:t>附表</w:t>
      </w:r>
      <w:r>
        <w:rPr>
          <w:b/>
          <w:szCs w:val="24"/>
        </w:rPr>
        <w:t>：</w:t>
      </w:r>
      <w:r>
        <w:rPr>
          <w:rFonts w:hint="eastAsia"/>
          <w:b/>
          <w:szCs w:val="24"/>
        </w:rPr>
        <w:t>转专业</w:t>
      </w:r>
      <w:r>
        <w:rPr>
          <w:b/>
          <w:szCs w:val="24"/>
        </w:rPr>
        <w:t>准入课程明细</w:t>
      </w:r>
    </w:p>
    <w:tbl>
      <w:tblPr>
        <w:tblStyle w:val="a6"/>
        <w:tblW w:w="7275" w:type="dxa"/>
        <w:jc w:val="center"/>
        <w:tblLayout w:type="fixed"/>
        <w:tblLook w:val="04A0" w:firstRow="1" w:lastRow="0" w:firstColumn="1" w:lastColumn="0" w:noHBand="0" w:noVBand="1"/>
      </w:tblPr>
      <w:tblGrid>
        <w:gridCol w:w="1476"/>
        <w:gridCol w:w="2946"/>
        <w:gridCol w:w="636"/>
        <w:gridCol w:w="951"/>
        <w:gridCol w:w="1266"/>
      </w:tblGrid>
      <w:tr w:rsidR="00190546">
        <w:trPr>
          <w:jc w:val="center"/>
        </w:trPr>
        <w:tc>
          <w:tcPr>
            <w:tcW w:w="1476"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专业</w:t>
            </w:r>
          </w:p>
        </w:tc>
        <w:tc>
          <w:tcPr>
            <w:tcW w:w="2946"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准入课程名称</w:t>
            </w:r>
          </w:p>
        </w:tc>
        <w:tc>
          <w:tcPr>
            <w:tcW w:w="636"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课程</w:t>
            </w:r>
          </w:p>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学分</w:t>
            </w:r>
          </w:p>
        </w:tc>
        <w:tc>
          <w:tcPr>
            <w:tcW w:w="951"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课程</w:t>
            </w:r>
          </w:p>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代码</w:t>
            </w:r>
          </w:p>
        </w:tc>
        <w:tc>
          <w:tcPr>
            <w:tcW w:w="1266"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备注</w:t>
            </w:r>
          </w:p>
        </w:tc>
      </w:tr>
      <w:tr w:rsidR="00190546">
        <w:trPr>
          <w:jc w:val="center"/>
        </w:trPr>
        <w:tc>
          <w:tcPr>
            <w:tcW w:w="1476" w:type="dxa"/>
            <w:vMerge w:val="restart"/>
            <w:vAlign w:val="center"/>
          </w:tcPr>
          <w:p w:rsidR="00190546" w:rsidRDefault="000379D6">
            <w:pPr>
              <w:widowControl/>
              <w:spacing w:before="0" w:after="0" w:line="240" w:lineRule="auto"/>
              <w:ind w:firstLineChars="100" w:firstLine="210"/>
              <w:jc w:val="both"/>
              <w:rPr>
                <w:rFonts w:ascii="Times New Roman"/>
                <w:sz w:val="21"/>
                <w:szCs w:val="21"/>
              </w:rPr>
            </w:pPr>
            <w:r>
              <w:rPr>
                <w:rFonts w:ascii="Times New Roman"/>
                <w:sz w:val="21"/>
                <w:szCs w:val="21"/>
              </w:rPr>
              <w:t>交通运输</w:t>
            </w:r>
          </w:p>
          <w:p w:rsidR="00190546" w:rsidRDefault="000379D6">
            <w:pPr>
              <w:widowControl/>
              <w:spacing w:before="0" w:after="0" w:line="240" w:lineRule="auto"/>
              <w:ind w:firstLineChars="0" w:firstLine="0"/>
              <w:jc w:val="both"/>
              <w:rPr>
                <w:rFonts w:ascii="Times New Roman"/>
                <w:sz w:val="21"/>
                <w:szCs w:val="21"/>
              </w:rPr>
            </w:pPr>
            <w:r>
              <w:rPr>
                <w:rFonts w:ascii="Times New Roman" w:hint="eastAsia"/>
                <w:sz w:val="21"/>
                <w:szCs w:val="21"/>
              </w:rPr>
              <w:t>（城轨方向）</w:t>
            </w: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1271046</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BII</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1272005</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计算机程序设计基础</w:t>
            </w:r>
            <w:r>
              <w:rPr>
                <w:rFonts w:ascii="Times New Roman" w:hAnsi="Times New Roman"/>
                <w:sz w:val="21"/>
                <w:szCs w:val="21"/>
              </w:rPr>
              <w:t>A</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3</w:t>
            </w:r>
          </w:p>
        </w:tc>
        <w:tc>
          <w:tcPr>
            <w:tcW w:w="951" w:type="dxa"/>
          </w:tcPr>
          <w:p w:rsidR="00190546" w:rsidRDefault="00190546">
            <w:pPr>
              <w:widowControl/>
              <w:spacing w:before="0" w:after="0" w:line="240" w:lineRule="auto"/>
              <w:ind w:firstLineChars="0" w:firstLine="0"/>
              <w:rPr>
                <w:rFonts w:ascii="Times New Roman" w:hAns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城市轨道交通基础设施与设备</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hint="eastAsia"/>
                <w:sz w:val="21"/>
                <w:szCs w:val="21"/>
              </w:rPr>
              <w:t>2</w:t>
            </w:r>
          </w:p>
        </w:tc>
        <w:tc>
          <w:tcPr>
            <w:tcW w:w="951" w:type="dxa"/>
          </w:tcPr>
          <w:p w:rsidR="00190546" w:rsidRDefault="00190546">
            <w:pPr>
              <w:widowControl/>
              <w:spacing w:before="0" w:after="0" w:line="240" w:lineRule="auto"/>
              <w:ind w:firstLineChars="0" w:firstLine="0"/>
              <w:rPr>
                <w:rFonts w:ascii="Times New Roman" w:hAns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城市轨道交通车辆与牵引计算</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hint="eastAsia"/>
                <w:sz w:val="21"/>
                <w:szCs w:val="21"/>
              </w:rPr>
              <w:t>2</w:t>
            </w:r>
          </w:p>
        </w:tc>
        <w:tc>
          <w:tcPr>
            <w:tcW w:w="951" w:type="dxa"/>
          </w:tcPr>
          <w:p w:rsidR="00190546" w:rsidRDefault="00190546">
            <w:pPr>
              <w:widowControl/>
              <w:spacing w:before="0" w:after="0" w:line="240" w:lineRule="auto"/>
              <w:ind w:firstLineChars="0" w:firstLine="0"/>
              <w:rPr>
                <w:rFonts w:ascii="Times New Roman" w:hAns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运筹学</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hint="eastAsia"/>
                <w:sz w:val="21"/>
                <w:szCs w:val="21"/>
              </w:rPr>
              <w:t>4</w:t>
            </w:r>
          </w:p>
        </w:tc>
        <w:tc>
          <w:tcPr>
            <w:tcW w:w="951" w:type="dxa"/>
          </w:tcPr>
          <w:p w:rsidR="00190546" w:rsidRDefault="00190546">
            <w:pPr>
              <w:widowControl/>
              <w:spacing w:before="0" w:after="0" w:line="240" w:lineRule="auto"/>
              <w:ind w:firstLineChars="0" w:firstLine="0"/>
              <w:rPr>
                <w:rFonts w:ascii="Times New Roman" w:hAns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bl>
    <w:p w:rsidR="00190546" w:rsidRDefault="000379D6">
      <w:pPr>
        <w:widowControl/>
        <w:snapToGrid w:val="0"/>
        <w:ind w:firstLineChars="0" w:firstLine="480"/>
        <w:rPr>
          <w:rFonts w:ascii="宋体" w:hAnsi="宋体" w:cs="宋体"/>
          <w:kern w:val="0"/>
          <w:sz w:val="21"/>
          <w:szCs w:val="24"/>
        </w:rPr>
      </w:pPr>
      <w:r>
        <w:rPr>
          <w:rFonts w:ascii="宋体" w:hAnsi="宋体" w:cs="宋体" w:hint="eastAsia"/>
          <w:kern w:val="0"/>
          <w:sz w:val="21"/>
          <w:szCs w:val="24"/>
        </w:rPr>
        <w:t>注：由于培养方案变动，课程名称有变化的准入课程可向学院申请认定或替代。</w:t>
      </w:r>
    </w:p>
    <w:p w:rsidR="00190546" w:rsidRDefault="000379D6">
      <w:pPr>
        <w:pStyle w:val="a"/>
        <w:numPr>
          <w:ilvl w:val="0"/>
          <w:numId w:val="2"/>
        </w:numPr>
      </w:pPr>
      <w:r>
        <w:rPr>
          <w:rFonts w:hint="eastAsia"/>
        </w:rPr>
        <w:t>转专业咨询方式</w:t>
      </w:r>
    </w:p>
    <w:p w:rsidR="00190546" w:rsidRDefault="000379D6">
      <w:pPr>
        <w:ind w:firstLine="480"/>
      </w:pPr>
      <w:r>
        <w:rPr>
          <w:rFonts w:hint="eastAsia"/>
        </w:rPr>
        <w:t>峨眉校区（仅限峨眉校区本科生）</w:t>
      </w:r>
    </w:p>
    <w:p w:rsidR="00190546" w:rsidRPr="00DC7715" w:rsidRDefault="000379D6" w:rsidP="00DC7715">
      <w:pPr>
        <w:ind w:firstLine="480"/>
      </w:pPr>
      <w:r>
        <w:rPr>
          <w:rFonts w:hint="eastAsia"/>
        </w:rPr>
        <w:t>咨询电话：</w:t>
      </w:r>
      <w:r>
        <w:rPr>
          <w:rFonts w:hint="eastAsia"/>
        </w:rPr>
        <w:t>0833-5196230</w:t>
      </w:r>
      <w:r>
        <w:rPr>
          <w:rFonts w:hint="eastAsia"/>
        </w:rPr>
        <w:t>；咨询地点：峨眉城轨运营管理系办公楼</w:t>
      </w:r>
      <w:r>
        <w:rPr>
          <w:rFonts w:hint="eastAsia"/>
        </w:rPr>
        <w:t>3-4</w:t>
      </w:r>
      <w:r>
        <w:rPr>
          <w:rFonts w:hint="eastAsia"/>
        </w:rPr>
        <w:t>。</w:t>
      </w:r>
    </w:p>
    <w:p w:rsidR="00190546" w:rsidRDefault="000379D6">
      <w:pPr>
        <w:ind w:firstLineChars="0" w:firstLine="0"/>
        <w:jc w:val="right"/>
        <w:rPr>
          <w:rFonts w:ascii="Cambria" w:hAnsi="Cambria"/>
          <w:b/>
          <w:bCs/>
          <w:kern w:val="28"/>
          <w:sz w:val="30"/>
          <w:szCs w:val="32"/>
        </w:rPr>
      </w:pPr>
      <w:r>
        <w:rPr>
          <w:rFonts w:ascii="Cambria" w:hAnsi="Cambria" w:hint="eastAsia"/>
          <w:b/>
          <w:bCs/>
          <w:kern w:val="28"/>
          <w:sz w:val="30"/>
          <w:szCs w:val="32"/>
        </w:rPr>
        <w:t>交通运输与物流学院</w:t>
      </w:r>
    </w:p>
    <w:p w:rsidR="00190546" w:rsidRPr="00A145DB" w:rsidRDefault="000379D6" w:rsidP="00A145DB">
      <w:pPr>
        <w:ind w:firstLineChars="2000" w:firstLine="6023"/>
        <w:rPr>
          <w:rFonts w:ascii="Cambria" w:hAnsi="Cambria"/>
          <w:b/>
          <w:bCs/>
          <w:kern w:val="28"/>
          <w:sz w:val="30"/>
          <w:szCs w:val="32"/>
        </w:rPr>
      </w:pPr>
      <w:r>
        <w:rPr>
          <w:rFonts w:ascii="Cambria" w:hAnsi="Cambria" w:hint="eastAsia"/>
          <w:b/>
          <w:bCs/>
          <w:kern w:val="28"/>
          <w:sz w:val="30"/>
          <w:szCs w:val="32"/>
        </w:rPr>
        <w:t>201</w:t>
      </w:r>
      <w:r w:rsidR="00BE7B95">
        <w:rPr>
          <w:rFonts w:ascii="Cambria" w:hAnsi="Cambria"/>
          <w:b/>
          <w:bCs/>
          <w:kern w:val="28"/>
          <w:sz w:val="30"/>
          <w:szCs w:val="32"/>
        </w:rPr>
        <w:t>7</w:t>
      </w:r>
      <w:bookmarkStart w:id="1" w:name="_GoBack"/>
      <w:bookmarkEnd w:id="1"/>
      <w:r>
        <w:rPr>
          <w:rFonts w:ascii="Cambria" w:hAnsi="Cambria" w:hint="eastAsia"/>
          <w:b/>
          <w:bCs/>
          <w:kern w:val="28"/>
          <w:sz w:val="30"/>
          <w:szCs w:val="32"/>
        </w:rPr>
        <w:t>年</w:t>
      </w:r>
      <w:r>
        <w:rPr>
          <w:rFonts w:ascii="Cambria" w:hAnsi="Cambria" w:hint="eastAsia"/>
          <w:b/>
          <w:bCs/>
          <w:kern w:val="28"/>
          <w:sz w:val="30"/>
          <w:szCs w:val="32"/>
        </w:rPr>
        <w:t>1</w:t>
      </w:r>
      <w:r w:rsidR="00AD214B">
        <w:rPr>
          <w:rFonts w:ascii="Cambria" w:hAnsi="Cambria" w:hint="eastAsia"/>
          <w:b/>
          <w:bCs/>
          <w:kern w:val="28"/>
          <w:sz w:val="30"/>
          <w:szCs w:val="32"/>
        </w:rPr>
        <w:t>2</w:t>
      </w:r>
      <w:r>
        <w:rPr>
          <w:rFonts w:ascii="Cambria" w:hAnsi="Cambria" w:hint="eastAsia"/>
          <w:b/>
          <w:bCs/>
          <w:kern w:val="28"/>
          <w:sz w:val="30"/>
          <w:szCs w:val="32"/>
        </w:rPr>
        <w:t>月</w:t>
      </w:r>
    </w:p>
    <w:sectPr w:rsidR="00190546" w:rsidRPr="00A145DB" w:rsidSect="0019054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BF9" w:rsidRDefault="00C03BF9" w:rsidP="00D21E4D">
      <w:pPr>
        <w:spacing w:before="0" w:after="0" w:line="240" w:lineRule="auto"/>
        <w:ind w:firstLine="480"/>
      </w:pPr>
      <w:r>
        <w:separator/>
      </w:r>
    </w:p>
  </w:endnote>
  <w:endnote w:type="continuationSeparator" w:id="0">
    <w:p w:rsidR="00C03BF9" w:rsidRDefault="00C03BF9" w:rsidP="00D21E4D">
      <w:pPr>
        <w:spacing w:before="0" w:after="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BF9" w:rsidRDefault="00C03BF9" w:rsidP="00D21E4D">
      <w:pPr>
        <w:spacing w:before="0" w:after="0" w:line="240" w:lineRule="auto"/>
        <w:ind w:firstLine="480"/>
      </w:pPr>
      <w:r>
        <w:separator/>
      </w:r>
    </w:p>
  </w:footnote>
  <w:footnote w:type="continuationSeparator" w:id="0">
    <w:p w:rsidR="00C03BF9" w:rsidRDefault="00C03BF9" w:rsidP="00D21E4D">
      <w:pPr>
        <w:spacing w:before="0" w:after="0"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11B66"/>
    <w:multiLevelType w:val="multilevel"/>
    <w:tmpl w:val="19311B66"/>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5BF46D7"/>
    <w:multiLevelType w:val="multilevel"/>
    <w:tmpl w:val="55BF46D7"/>
    <w:lvl w:ilvl="0">
      <w:start w:val="1"/>
      <w:numFmt w:val="chineseCountingThousand"/>
      <w:pStyle w:val="a"/>
      <w:lvlText w:val="%1、"/>
      <w:lvlJc w:val="left"/>
      <w:pPr>
        <w:ind w:left="420" w:hanging="420"/>
      </w:pPr>
      <w:rPr>
        <w:rFonts w:cs="Times New Roman"/>
        <w:b/>
        <w:bCs w:val="0"/>
        <w:i w:val="0"/>
        <w:iCs w:val="0"/>
        <w:caps w:val="0"/>
        <w:smallCaps w:val="0"/>
        <w:strike w:val="0"/>
        <w:dstrike w:val="0"/>
        <w:vanish w:val="0"/>
        <w:spacing w:val="0"/>
        <w:position w:val="0"/>
        <w:u w:val="none"/>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943"/>
    <w:rsid w:val="0002601C"/>
    <w:rsid w:val="000379D6"/>
    <w:rsid w:val="00076505"/>
    <w:rsid w:val="000D726B"/>
    <w:rsid w:val="000E42A6"/>
    <w:rsid w:val="00190546"/>
    <w:rsid w:val="00216E4B"/>
    <w:rsid w:val="00270076"/>
    <w:rsid w:val="0028535D"/>
    <w:rsid w:val="002B6EA5"/>
    <w:rsid w:val="002D0055"/>
    <w:rsid w:val="002E49D1"/>
    <w:rsid w:val="00341237"/>
    <w:rsid w:val="0039136C"/>
    <w:rsid w:val="003D30C3"/>
    <w:rsid w:val="0044652F"/>
    <w:rsid w:val="004D4070"/>
    <w:rsid w:val="004D7051"/>
    <w:rsid w:val="004D7708"/>
    <w:rsid w:val="004E4C0B"/>
    <w:rsid w:val="00526E95"/>
    <w:rsid w:val="00550DD3"/>
    <w:rsid w:val="00597F1A"/>
    <w:rsid w:val="005B3F37"/>
    <w:rsid w:val="006243BA"/>
    <w:rsid w:val="006725B5"/>
    <w:rsid w:val="0069139E"/>
    <w:rsid w:val="006E0790"/>
    <w:rsid w:val="006E4EFD"/>
    <w:rsid w:val="00776A49"/>
    <w:rsid w:val="007814F9"/>
    <w:rsid w:val="007F28B9"/>
    <w:rsid w:val="0082226A"/>
    <w:rsid w:val="0084788A"/>
    <w:rsid w:val="00856E7E"/>
    <w:rsid w:val="00891D8B"/>
    <w:rsid w:val="008E4C6E"/>
    <w:rsid w:val="00957DB1"/>
    <w:rsid w:val="00965EB9"/>
    <w:rsid w:val="009C7343"/>
    <w:rsid w:val="009D1789"/>
    <w:rsid w:val="00A145DB"/>
    <w:rsid w:val="00A65F83"/>
    <w:rsid w:val="00AD214B"/>
    <w:rsid w:val="00B06FF2"/>
    <w:rsid w:val="00B262E7"/>
    <w:rsid w:val="00B43EDF"/>
    <w:rsid w:val="00B669DC"/>
    <w:rsid w:val="00BD454B"/>
    <w:rsid w:val="00BD6789"/>
    <w:rsid w:val="00BE7B95"/>
    <w:rsid w:val="00C03BF9"/>
    <w:rsid w:val="00C36A4E"/>
    <w:rsid w:val="00C567FE"/>
    <w:rsid w:val="00CF5AE5"/>
    <w:rsid w:val="00D21E4D"/>
    <w:rsid w:val="00D255B9"/>
    <w:rsid w:val="00DC7715"/>
    <w:rsid w:val="00E03943"/>
    <w:rsid w:val="00E56FBF"/>
    <w:rsid w:val="00EC1B9D"/>
    <w:rsid w:val="00EE21F2"/>
    <w:rsid w:val="00F217E2"/>
    <w:rsid w:val="00F65907"/>
    <w:rsid w:val="00F72425"/>
    <w:rsid w:val="00F94DA3"/>
    <w:rsid w:val="00FD768F"/>
    <w:rsid w:val="6F7C30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617651-75BB-4C4F-94A2-617549D7C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90546"/>
    <w:pPr>
      <w:widowControl w:val="0"/>
      <w:spacing w:before="120" w:after="40" w:line="360" w:lineRule="auto"/>
      <w:ind w:firstLineChars="200" w:firstLine="200"/>
    </w:pPr>
    <w:rPr>
      <w:rFonts w:ascii="Calibri" w:eastAsia="宋体" w:hAnsi="Calibri" w:cs="Times New Roman"/>
      <w:kern w:val="2"/>
      <w:sz w:val="24"/>
      <w:szCs w:val="22"/>
    </w:rPr>
  </w:style>
  <w:style w:type="paragraph" w:styleId="1">
    <w:name w:val="heading 1"/>
    <w:basedOn w:val="a0"/>
    <w:next w:val="a0"/>
    <w:link w:val="1Char"/>
    <w:qFormat/>
    <w:rsid w:val="00190546"/>
    <w:pPr>
      <w:keepNext/>
      <w:keepLines/>
      <w:spacing w:before="340" w:after="330" w:line="578" w:lineRule="auto"/>
      <w:outlineLvl w:val="0"/>
    </w:pPr>
    <w:rPr>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Char"/>
    <w:uiPriority w:val="99"/>
    <w:unhideWhenUsed/>
    <w:rsid w:val="00190546"/>
    <w:pPr>
      <w:tabs>
        <w:tab w:val="center" w:pos="4153"/>
        <w:tab w:val="right" w:pos="8306"/>
      </w:tabs>
      <w:snapToGrid w:val="0"/>
      <w:spacing w:line="240" w:lineRule="auto"/>
    </w:pPr>
    <w:rPr>
      <w:sz w:val="18"/>
      <w:szCs w:val="18"/>
    </w:rPr>
  </w:style>
  <w:style w:type="paragraph" w:styleId="a5">
    <w:name w:val="header"/>
    <w:basedOn w:val="a0"/>
    <w:link w:val="Char0"/>
    <w:uiPriority w:val="99"/>
    <w:unhideWhenUsed/>
    <w:rsid w:val="00190546"/>
    <w:pPr>
      <w:pBdr>
        <w:bottom w:val="single" w:sz="6" w:space="1" w:color="auto"/>
      </w:pBdr>
      <w:tabs>
        <w:tab w:val="center" w:pos="4153"/>
        <w:tab w:val="right" w:pos="8306"/>
      </w:tabs>
      <w:snapToGrid w:val="0"/>
      <w:spacing w:line="240" w:lineRule="auto"/>
      <w:jc w:val="center"/>
    </w:pPr>
    <w:rPr>
      <w:sz w:val="18"/>
      <w:szCs w:val="18"/>
    </w:rPr>
  </w:style>
  <w:style w:type="paragraph" w:styleId="a">
    <w:name w:val="Subtitle"/>
    <w:basedOn w:val="a0"/>
    <w:next w:val="a0"/>
    <w:link w:val="Char1"/>
    <w:uiPriority w:val="11"/>
    <w:qFormat/>
    <w:rsid w:val="00190546"/>
    <w:pPr>
      <w:numPr>
        <w:numId w:val="1"/>
      </w:numPr>
      <w:spacing w:line="312" w:lineRule="auto"/>
      <w:ind w:firstLineChars="0" w:firstLine="0"/>
      <w:outlineLvl w:val="1"/>
    </w:pPr>
    <w:rPr>
      <w:rFonts w:ascii="Cambria" w:hAnsi="Cambria"/>
      <w:b/>
      <w:bCs/>
      <w:kern w:val="28"/>
      <w:sz w:val="30"/>
      <w:szCs w:val="32"/>
    </w:rPr>
  </w:style>
  <w:style w:type="table" w:styleId="a6">
    <w:name w:val="Table Grid"/>
    <w:basedOn w:val="a2"/>
    <w:uiPriority w:val="39"/>
    <w:rsid w:val="001905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rsid w:val="00190546"/>
    <w:rPr>
      <w:rFonts w:ascii="Calibri" w:eastAsia="宋体" w:hAnsi="Calibri" w:cs="Times New Roman"/>
      <w:b/>
      <w:bCs/>
      <w:kern w:val="44"/>
      <w:sz w:val="32"/>
      <w:szCs w:val="44"/>
    </w:rPr>
  </w:style>
  <w:style w:type="character" w:customStyle="1" w:styleId="Char1">
    <w:name w:val="副标题 Char"/>
    <w:basedOn w:val="a1"/>
    <w:link w:val="a"/>
    <w:uiPriority w:val="11"/>
    <w:rsid w:val="00190546"/>
    <w:rPr>
      <w:rFonts w:ascii="Cambria" w:eastAsia="宋体" w:hAnsi="Cambria" w:cs="Times New Roman"/>
      <w:b/>
      <w:bCs/>
      <w:kern w:val="28"/>
      <w:sz w:val="30"/>
      <w:szCs w:val="32"/>
    </w:rPr>
  </w:style>
  <w:style w:type="character" w:customStyle="1" w:styleId="Char0">
    <w:name w:val="页眉 Char"/>
    <w:basedOn w:val="a1"/>
    <w:link w:val="a5"/>
    <w:uiPriority w:val="99"/>
    <w:rsid w:val="00190546"/>
    <w:rPr>
      <w:rFonts w:ascii="Calibri" w:eastAsia="宋体" w:hAnsi="Calibri" w:cs="Times New Roman"/>
      <w:sz w:val="18"/>
      <w:szCs w:val="18"/>
    </w:rPr>
  </w:style>
  <w:style w:type="character" w:customStyle="1" w:styleId="Char">
    <w:name w:val="页脚 Char"/>
    <w:basedOn w:val="a1"/>
    <w:link w:val="a4"/>
    <w:uiPriority w:val="99"/>
    <w:rsid w:val="00190546"/>
    <w:rPr>
      <w:rFonts w:ascii="Calibri" w:eastAsia="宋体" w:hAnsi="Calibri" w:cs="Times New Roman"/>
      <w:sz w:val="18"/>
      <w:szCs w:val="18"/>
    </w:rPr>
  </w:style>
  <w:style w:type="paragraph" w:customStyle="1" w:styleId="10">
    <w:name w:val="列出段落1"/>
    <w:basedOn w:val="a0"/>
    <w:uiPriority w:val="34"/>
    <w:qFormat/>
    <w:rsid w:val="0019054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160</Words>
  <Characters>913</Characters>
  <Application>Microsoft Office Word</Application>
  <DocSecurity>0</DocSecurity>
  <Lines>7</Lines>
  <Paragraphs>2</Paragraphs>
  <ScaleCrop>false</ScaleCrop>
  <Company>Lenovo</Company>
  <LinksUpToDate>false</LinksUpToDate>
  <CharactersWithSpaces>1071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陈洪章</dc:creator>
  <cp:lastModifiedBy>Albert</cp:lastModifiedBy>
  <cp:revision>7</cp:revision>
  <dcterms:created xsi:type="dcterms:W3CDTF">2017-12-22T02:40:00Z</dcterms:created>
  <dcterms:modified xsi:type="dcterms:W3CDTF">2017-12-22T08:41:00Z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